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9237" w14:textId="49B56AED" w:rsidR="005C04D9" w:rsidRPr="003F1F63" w:rsidRDefault="007060EA" w:rsidP="007D3C7C">
      <w:pPr>
        <w:jc w:val="center"/>
      </w:pPr>
      <w:r w:rsidRPr="003F1F63">
        <w:t>September 6</w:t>
      </w:r>
      <w:r w:rsidR="00BC3A87" w:rsidRPr="003F1F63">
        <w:t>, 202</w:t>
      </w:r>
      <w:r w:rsidR="00867FA4" w:rsidRPr="003F1F63">
        <w:t>3</w:t>
      </w:r>
    </w:p>
    <w:p w14:paraId="573A1BE6" w14:textId="77777777" w:rsidR="005C04D9" w:rsidRPr="003F1F63" w:rsidRDefault="005C04D9" w:rsidP="007D3C7C"/>
    <w:p w14:paraId="6B4D312D" w14:textId="1DAC1F8C" w:rsidR="00E2693F" w:rsidRPr="003F1F63" w:rsidRDefault="005C04D9" w:rsidP="00E2693F">
      <w:r w:rsidRPr="003F1F63">
        <w:t>MEMORANDUM FOR:</w:t>
      </w:r>
      <w:r w:rsidRPr="003F1F63">
        <w:tab/>
      </w:r>
      <w:r w:rsidR="00ED17C6" w:rsidRPr="003F1F63">
        <w:t>Lori Michalski, Chief Human Capital Officer</w:t>
      </w:r>
    </w:p>
    <w:p w14:paraId="6E920018" w14:textId="77EC6DCD" w:rsidR="00BC3ADB" w:rsidRPr="003F1F63" w:rsidRDefault="00917389" w:rsidP="007060EA">
      <w:pPr>
        <w:ind w:left="3240" w:hanging="360"/>
      </w:pPr>
      <w:r>
        <w:rPr>
          <w:noProof/>
        </w:rPr>
        <w:drawing>
          <wp:anchor distT="0" distB="0" distL="114300" distR="114300" simplePos="0" relativeHeight="251658240" behindDoc="1" locked="0" layoutInCell="1" allowOverlap="1" wp14:anchorId="0C82EA84" wp14:editId="59E18F84">
            <wp:simplePos x="0" y="0"/>
            <wp:positionH relativeFrom="column">
              <wp:posOffset>3981450</wp:posOffset>
            </wp:positionH>
            <wp:positionV relativeFrom="paragraph">
              <wp:posOffset>137160</wp:posOffset>
            </wp:positionV>
            <wp:extent cx="2038350" cy="528234"/>
            <wp:effectExtent l="0" t="0" r="0" b="5715"/>
            <wp:wrapNone/>
            <wp:docPr id="75413320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33200"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528234"/>
                    </a:xfrm>
                    <a:prstGeom prst="rect">
                      <a:avLst/>
                    </a:prstGeom>
                  </pic:spPr>
                </pic:pic>
              </a:graphicData>
            </a:graphic>
            <wp14:sizeRelH relativeFrom="page">
              <wp14:pctWidth>0</wp14:pctWidth>
            </wp14:sizeRelH>
            <wp14:sizeRelV relativeFrom="page">
              <wp14:pctHeight>0</wp14:pctHeight>
            </wp14:sizeRelV>
          </wp:anchor>
        </w:drawing>
      </w:r>
      <w:r w:rsidR="00ED17C6" w:rsidRPr="003F1F63">
        <w:t>Sonya Gaither, Director of Employee &amp; Labor Relations</w:t>
      </w:r>
      <w:r w:rsidR="00BC3ADB" w:rsidRPr="003F1F63">
        <w:t>, Office of the Chief Human Capital Officer</w:t>
      </w:r>
    </w:p>
    <w:p w14:paraId="284534D6" w14:textId="3E88E6F5" w:rsidR="00CD37FB" w:rsidRPr="003F1F63" w:rsidRDefault="00CD37FB" w:rsidP="007D3C7C"/>
    <w:p w14:paraId="22BDAA98" w14:textId="1C1F4D7D" w:rsidR="00CD37FB" w:rsidRPr="003F1F63" w:rsidRDefault="005C04D9" w:rsidP="00BC3ADB">
      <w:pPr>
        <w:tabs>
          <w:tab w:val="left" w:pos="2610"/>
        </w:tabs>
      </w:pPr>
      <w:r w:rsidRPr="003F1F63">
        <w:t>FROM:</w:t>
      </w:r>
      <w:r w:rsidRPr="003F1F63">
        <w:tab/>
      </w:r>
      <w:r w:rsidRPr="003F1F63">
        <w:tab/>
      </w:r>
      <w:r w:rsidR="00565DCC" w:rsidRPr="003F1F63">
        <w:t>Salvatore Viola</w:t>
      </w:r>
      <w:r w:rsidR="00BC3ADB" w:rsidRPr="003F1F63">
        <w:t xml:space="preserve">, </w:t>
      </w:r>
      <w:r w:rsidR="00565DCC" w:rsidRPr="003F1F63">
        <w:t>President</w:t>
      </w:r>
      <w:r w:rsidR="00BC3ADB" w:rsidRPr="003F1F63">
        <w:t xml:space="preserve">, </w:t>
      </w:r>
      <w:r w:rsidR="005D30FA" w:rsidRPr="003F1F63">
        <w:t xml:space="preserve">AFGE </w:t>
      </w:r>
      <w:r w:rsidR="00CD37FB" w:rsidRPr="003F1F63">
        <w:t>Council 222</w:t>
      </w:r>
    </w:p>
    <w:p w14:paraId="614649F5" w14:textId="77777777" w:rsidR="00CD37FB" w:rsidRPr="003F1F63" w:rsidRDefault="00CD37FB" w:rsidP="007D3C7C"/>
    <w:p w14:paraId="15B94D94" w14:textId="43BC3A26" w:rsidR="00ED17C6" w:rsidRPr="003F1F63" w:rsidRDefault="00AA22BE" w:rsidP="00BC3ADB">
      <w:pPr>
        <w:ind w:left="2880" w:hanging="2880"/>
      </w:pPr>
      <w:r w:rsidRPr="003F1F63">
        <w:t>SUBJECT:</w:t>
      </w:r>
      <w:r w:rsidRPr="003F1F63">
        <w:tab/>
      </w:r>
      <w:r w:rsidR="00482ED4" w:rsidRPr="003F1F63">
        <w:t xml:space="preserve">Unfair Labor Practice </w:t>
      </w:r>
      <w:r w:rsidR="00ED17C6" w:rsidRPr="003F1F63">
        <w:t>Grievance of the Parties</w:t>
      </w:r>
      <w:r w:rsidR="00867FA4" w:rsidRPr="003F1F63">
        <w:t xml:space="preserve">: </w:t>
      </w:r>
      <w:r w:rsidR="007060EA" w:rsidRPr="003F1F63">
        <w:t xml:space="preserve">Handbook 2200.1, Chapter 13 Space </w:t>
      </w:r>
      <w:r w:rsidR="001B2F84" w:rsidRPr="003F1F63">
        <w:rPr>
          <w:bdr w:val="none" w:sz="0" w:space="0" w:color="auto" w:frame="1"/>
          <w:shd w:val="clear" w:color="auto" w:fill="FFFFFF"/>
        </w:rPr>
        <w:t>Design Standards</w:t>
      </w:r>
      <w:r w:rsidR="001B2F84" w:rsidRPr="003F1F63">
        <w:t xml:space="preserve"> </w:t>
      </w:r>
      <w:r w:rsidR="007060EA" w:rsidRPr="003F1F63">
        <w:t>Negotiations</w:t>
      </w:r>
    </w:p>
    <w:p w14:paraId="3E9287FA" w14:textId="77777777" w:rsidR="00BC3ADB" w:rsidRPr="003F1F63" w:rsidRDefault="00BC3ADB" w:rsidP="00BC3ADB">
      <w:pPr>
        <w:ind w:left="2880" w:hanging="2880"/>
      </w:pPr>
    </w:p>
    <w:p w14:paraId="00E1EB67" w14:textId="5290EAF7" w:rsidR="00ED17C6" w:rsidRPr="003F1F63" w:rsidRDefault="001F6851" w:rsidP="00452187">
      <w:pPr>
        <w:spacing w:after="240"/>
        <w:rPr>
          <w:bdr w:val="none" w:sz="0" w:space="0" w:color="auto" w:frame="1"/>
          <w:shd w:val="clear" w:color="auto" w:fill="FFFFFF"/>
        </w:rPr>
      </w:pPr>
      <w:r w:rsidRPr="003F1F63">
        <w:t xml:space="preserve">Pursuant to </w:t>
      </w:r>
      <w:r w:rsidRPr="003F1F63">
        <w:rPr>
          <w:bdr w:val="none" w:sz="0" w:space="0" w:color="auto" w:frame="1"/>
          <w:shd w:val="clear" w:color="auto" w:fill="FFFFFF"/>
        </w:rPr>
        <w:t xml:space="preserve">Article 51, Sections 51.01(2), 51.01(3), 51.04, and 51.15 of the 2015 HUD-AFGE </w:t>
      </w:r>
      <w:r w:rsidR="00BC3ADB" w:rsidRPr="003F1F63">
        <w:rPr>
          <w:bdr w:val="none" w:sz="0" w:space="0" w:color="auto" w:frame="1"/>
          <w:shd w:val="clear" w:color="auto" w:fill="FFFFFF"/>
        </w:rPr>
        <w:t xml:space="preserve">Collective Bargaining </w:t>
      </w:r>
      <w:r w:rsidRPr="003F1F63">
        <w:rPr>
          <w:bdr w:val="none" w:sz="0" w:space="0" w:color="auto" w:frame="1"/>
          <w:shd w:val="clear" w:color="auto" w:fill="FFFFFF"/>
        </w:rPr>
        <w:t>Agreement (CBA) and the Federal Service Labor-Management Relations Statute (Statute) at 5 U.S.C. § 7103(a)(9)(B) and (C), § 7121(b)(1)(C)(</w:t>
      </w:r>
      <w:r w:rsidR="00243C7F" w:rsidRPr="003F1F63">
        <w:rPr>
          <w:bdr w:val="none" w:sz="0" w:space="0" w:color="auto" w:frame="1"/>
          <w:shd w:val="clear" w:color="auto" w:fill="FFFFFF"/>
        </w:rPr>
        <w:t>i</w:t>
      </w:r>
      <w:r w:rsidRPr="003F1F63">
        <w:rPr>
          <w:bdr w:val="none" w:sz="0" w:space="0" w:color="auto" w:frame="1"/>
          <w:shd w:val="clear" w:color="auto" w:fill="FFFFFF"/>
        </w:rPr>
        <w:t>)</w:t>
      </w:r>
      <w:r w:rsidR="00B4718D" w:rsidRPr="003F1F63">
        <w:rPr>
          <w:bdr w:val="none" w:sz="0" w:space="0" w:color="auto" w:frame="1"/>
          <w:shd w:val="clear" w:color="auto" w:fill="FFFFFF"/>
        </w:rPr>
        <w:t>,</w:t>
      </w:r>
      <w:r w:rsidR="000374D5" w:rsidRPr="003F1F63">
        <w:rPr>
          <w:rStyle w:val="CommentReference"/>
        </w:rPr>
        <w:t xml:space="preserve"> </w:t>
      </w:r>
      <w:r w:rsidRPr="003F1F63">
        <w:rPr>
          <w:bdr w:val="none" w:sz="0" w:space="0" w:color="auto" w:frame="1"/>
          <w:shd w:val="clear" w:color="auto" w:fill="FFFFFF"/>
        </w:rPr>
        <w:t>and § 7116</w:t>
      </w:r>
      <w:r w:rsidR="002A50A2" w:rsidRPr="003F1F63">
        <w:rPr>
          <w:bdr w:val="none" w:sz="0" w:space="0" w:color="auto" w:frame="1"/>
          <w:shd w:val="clear" w:color="auto" w:fill="FFFFFF"/>
        </w:rPr>
        <w:t xml:space="preserve">(a) and </w:t>
      </w:r>
      <w:r w:rsidRPr="003F1F63">
        <w:rPr>
          <w:bdr w:val="none" w:sz="0" w:space="0" w:color="auto" w:frame="1"/>
          <w:shd w:val="clear" w:color="auto" w:fill="FFFFFF"/>
        </w:rPr>
        <w:t>(d)</w:t>
      </w:r>
      <w:r w:rsidR="00B4718D" w:rsidRPr="003F1F63">
        <w:rPr>
          <w:bdr w:val="none" w:sz="0" w:space="0" w:color="auto" w:frame="1"/>
          <w:shd w:val="clear" w:color="auto" w:fill="FFFFFF"/>
        </w:rPr>
        <w:t>,</w:t>
      </w:r>
      <w:r w:rsidRPr="003F1F63">
        <w:rPr>
          <w:bdr w:val="none" w:sz="0" w:space="0" w:color="auto" w:frame="1"/>
          <w:shd w:val="clear" w:color="auto" w:fill="FFFFFF"/>
        </w:rPr>
        <w:t xml:space="preserve"> </w:t>
      </w:r>
      <w:r w:rsidR="00187F62" w:rsidRPr="003F1F63">
        <w:t>AFGE National Council 222 of HUD Locals (Council 222 or Union)</w:t>
      </w:r>
      <w:r w:rsidR="00187F62" w:rsidRPr="003F1F63">
        <w:rPr>
          <w:bdr w:val="none" w:sz="0" w:space="0" w:color="auto" w:frame="1"/>
          <w:shd w:val="clear" w:color="auto" w:fill="FFFFFF"/>
        </w:rPr>
        <w:t xml:space="preserve"> files</w:t>
      </w:r>
      <w:r w:rsidRPr="003F1F63">
        <w:rPr>
          <w:bdr w:val="none" w:sz="0" w:space="0" w:color="auto" w:frame="1"/>
          <w:shd w:val="clear" w:color="auto" w:fill="FFFFFF"/>
        </w:rPr>
        <w:t xml:space="preserve"> this </w:t>
      </w:r>
      <w:r w:rsidR="00414F8E" w:rsidRPr="003F1F63">
        <w:rPr>
          <w:bdr w:val="none" w:sz="0" w:space="0" w:color="auto" w:frame="1"/>
          <w:shd w:val="clear" w:color="auto" w:fill="FFFFFF"/>
        </w:rPr>
        <w:t xml:space="preserve">Unfair Labor Practice </w:t>
      </w:r>
      <w:r w:rsidRPr="003F1F63">
        <w:rPr>
          <w:bdr w:val="none" w:sz="0" w:space="0" w:color="auto" w:frame="1"/>
          <w:shd w:val="clear" w:color="auto" w:fill="FFFFFF"/>
        </w:rPr>
        <w:t>Grievance of the Parties (</w:t>
      </w:r>
      <w:r w:rsidR="005A690C" w:rsidRPr="003F1F63">
        <w:rPr>
          <w:bdr w:val="none" w:sz="0" w:space="0" w:color="auto" w:frame="1"/>
          <w:shd w:val="clear" w:color="auto" w:fill="FFFFFF"/>
        </w:rPr>
        <w:t>ULP-</w:t>
      </w:r>
      <w:r w:rsidRPr="003F1F63">
        <w:rPr>
          <w:bdr w:val="none" w:sz="0" w:space="0" w:color="auto" w:frame="1"/>
          <w:shd w:val="clear" w:color="auto" w:fill="FFFFFF"/>
        </w:rPr>
        <w:t xml:space="preserve">GOP) </w:t>
      </w:r>
      <w:r w:rsidR="00EC11E0" w:rsidRPr="003F1F63">
        <w:rPr>
          <w:bdr w:val="none" w:sz="0" w:space="0" w:color="auto" w:frame="1"/>
          <w:shd w:val="clear" w:color="auto" w:fill="FFFFFF"/>
        </w:rPr>
        <w:t xml:space="preserve">against the Department of Housing and Urban Development (HUD or the </w:t>
      </w:r>
      <w:r w:rsidR="004572D9" w:rsidRPr="003F1F63">
        <w:rPr>
          <w:bdr w:val="none" w:sz="0" w:space="0" w:color="auto" w:frame="1"/>
          <w:shd w:val="clear" w:color="auto" w:fill="FFFFFF"/>
        </w:rPr>
        <w:t>Agency</w:t>
      </w:r>
      <w:r w:rsidR="00EC11E0" w:rsidRPr="003F1F63">
        <w:rPr>
          <w:bdr w:val="none" w:sz="0" w:space="0" w:color="auto" w:frame="1"/>
          <w:shd w:val="clear" w:color="auto" w:fill="FFFFFF"/>
        </w:rPr>
        <w:t>)</w:t>
      </w:r>
      <w:r w:rsidR="00B4718D" w:rsidRPr="003F1F63">
        <w:rPr>
          <w:bdr w:val="none" w:sz="0" w:space="0" w:color="auto" w:frame="1"/>
          <w:shd w:val="clear" w:color="auto" w:fill="FFFFFF"/>
        </w:rPr>
        <w:t xml:space="preserve"> </w:t>
      </w:r>
      <w:r w:rsidRPr="003F1F63">
        <w:rPr>
          <w:bdr w:val="none" w:sz="0" w:space="0" w:color="auto" w:frame="1"/>
          <w:shd w:val="clear" w:color="auto" w:fill="FFFFFF"/>
        </w:rPr>
        <w:t>concerning</w:t>
      </w:r>
      <w:r w:rsidR="000B64E0" w:rsidRPr="003F1F63">
        <w:rPr>
          <w:bdr w:val="none" w:sz="0" w:space="0" w:color="auto" w:frame="1"/>
          <w:shd w:val="clear" w:color="auto" w:fill="FFFFFF"/>
        </w:rPr>
        <w:t xml:space="preserve"> </w:t>
      </w:r>
      <w:r w:rsidR="00CB5133" w:rsidRPr="003F1F63">
        <w:rPr>
          <w:bdr w:val="none" w:sz="0" w:space="0" w:color="auto" w:frame="1"/>
          <w:shd w:val="clear" w:color="auto" w:fill="FFFFFF"/>
        </w:rPr>
        <w:t>the Agency</w:t>
      </w:r>
      <w:r w:rsidR="000B64E0" w:rsidRPr="003F1F63">
        <w:rPr>
          <w:bdr w:val="none" w:sz="0" w:space="0" w:color="auto" w:frame="1"/>
          <w:shd w:val="clear" w:color="auto" w:fill="FFFFFF"/>
        </w:rPr>
        <w:t xml:space="preserve">’s </w:t>
      </w:r>
      <w:r w:rsidR="007060EA" w:rsidRPr="003F1F63">
        <w:rPr>
          <w:bdr w:val="none" w:sz="0" w:space="0" w:color="auto" w:frame="1"/>
          <w:shd w:val="clear" w:color="auto" w:fill="FFFFFF"/>
        </w:rPr>
        <w:t xml:space="preserve">contract violations and bad faith practices during the HUD–Union negotiations over the implementation of a revision to Handbook 2200.1, Chapter 13, Space </w:t>
      </w:r>
      <w:r w:rsidR="001B2F84" w:rsidRPr="003F1F63">
        <w:rPr>
          <w:bdr w:val="none" w:sz="0" w:space="0" w:color="auto" w:frame="1"/>
          <w:shd w:val="clear" w:color="auto" w:fill="FFFFFF"/>
        </w:rPr>
        <w:t>Design Standards</w:t>
      </w:r>
      <w:r w:rsidR="00867FA4" w:rsidRPr="003F1F63">
        <w:rPr>
          <w:bdr w:val="none" w:sz="0" w:space="0" w:color="auto" w:frame="1"/>
          <w:shd w:val="clear" w:color="auto" w:fill="FFFFFF"/>
        </w:rPr>
        <w:t xml:space="preserve">. </w:t>
      </w:r>
    </w:p>
    <w:p w14:paraId="4448C923" w14:textId="77777777" w:rsidR="00353455" w:rsidRPr="00353455" w:rsidRDefault="00353455" w:rsidP="00CB5133">
      <w:pPr>
        <w:spacing w:after="240"/>
        <w:rPr>
          <w:b/>
          <w:bCs/>
          <w:bdr w:val="none" w:sz="0" w:space="0" w:color="auto" w:frame="1"/>
          <w:shd w:val="clear" w:color="auto" w:fill="FFFFFF"/>
        </w:rPr>
      </w:pPr>
      <w:r w:rsidRPr="00353455">
        <w:rPr>
          <w:b/>
          <w:bCs/>
          <w:bdr w:val="none" w:sz="0" w:space="0" w:color="auto" w:frame="1"/>
          <w:shd w:val="clear" w:color="auto" w:fill="FFFFFF"/>
        </w:rPr>
        <w:t>Background</w:t>
      </w:r>
    </w:p>
    <w:p w14:paraId="5C25822D" w14:textId="68D4BC4D" w:rsidR="00427802" w:rsidRPr="003F1F63" w:rsidRDefault="007060EA" w:rsidP="00CB5133">
      <w:pPr>
        <w:spacing w:after="240"/>
        <w:rPr>
          <w:bdr w:val="none" w:sz="0" w:space="0" w:color="auto" w:frame="1"/>
          <w:shd w:val="clear" w:color="auto" w:fill="FFFFFF"/>
        </w:rPr>
      </w:pPr>
      <w:r w:rsidRPr="003F1F63">
        <w:rPr>
          <w:bdr w:val="none" w:sz="0" w:space="0" w:color="auto" w:frame="1"/>
          <w:shd w:val="clear" w:color="auto" w:fill="FFFFFF"/>
        </w:rPr>
        <w:t xml:space="preserve">On June 26, 2023, the Agency issued an </w:t>
      </w:r>
      <w:proofErr w:type="gramStart"/>
      <w:r w:rsidRPr="003F1F63">
        <w:rPr>
          <w:bdr w:val="none" w:sz="0" w:space="0" w:color="auto" w:frame="1"/>
          <w:shd w:val="clear" w:color="auto" w:fill="FFFFFF"/>
        </w:rPr>
        <w:t>Article</w:t>
      </w:r>
      <w:proofErr w:type="gramEnd"/>
      <w:r w:rsidRPr="003F1F63">
        <w:rPr>
          <w:bdr w:val="none" w:sz="0" w:space="0" w:color="auto" w:frame="1"/>
          <w:shd w:val="clear" w:color="auto" w:fill="FFFFFF"/>
        </w:rPr>
        <w:t xml:space="preserve"> 49 notice of a change in conditions of employment related to the implementation of a proposed revision of Handbook 2200.1, Chapter 13</w:t>
      </w:r>
      <w:r w:rsidR="00131974" w:rsidRPr="003F1F63">
        <w:rPr>
          <w:bdr w:val="none" w:sz="0" w:space="0" w:color="auto" w:frame="1"/>
          <w:shd w:val="clear" w:color="auto" w:fill="FFFFFF"/>
        </w:rPr>
        <w:t>,</w:t>
      </w:r>
      <w:r w:rsidRPr="003F1F63">
        <w:rPr>
          <w:bdr w:val="none" w:sz="0" w:space="0" w:color="auto" w:frame="1"/>
          <w:shd w:val="clear" w:color="auto" w:fill="FFFFFF"/>
        </w:rPr>
        <w:t xml:space="preserve"> Space </w:t>
      </w:r>
      <w:r w:rsidR="001B2F84" w:rsidRPr="003F1F63">
        <w:rPr>
          <w:bdr w:val="none" w:sz="0" w:space="0" w:color="auto" w:frame="1"/>
          <w:shd w:val="clear" w:color="auto" w:fill="FFFFFF"/>
        </w:rPr>
        <w:t>Design Standards. Management provided the Union with a copy of the current Chapter 13 and a draft of the proposed revision at that time. Within the fifteen days allowed under Article 49, Section 49.04, the Union sent its demand to bargain and its preliminary bargaining proposals</w:t>
      </w:r>
      <w:r w:rsidR="00F11AA9" w:rsidRPr="003F1F63">
        <w:rPr>
          <w:bdr w:val="none" w:sz="0" w:space="0" w:color="auto" w:frame="1"/>
          <w:shd w:val="clear" w:color="auto" w:fill="FFFFFF"/>
        </w:rPr>
        <w:t xml:space="preserve"> on July 10, 2023</w:t>
      </w:r>
      <w:r w:rsidR="001B2F84" w:rsidRPr="003F1F63">
        <w:rPr>
          <w:bdr w:val="none" w:sz="0" w:space="0" w:color="auto" w:frame="1"/>
          <w:shd w:val="clear" w:color="auto" w:fill="FFFFFF"/>
        </w:rPr>
        <w:t xml:space="preserve">. </w:t>
      </w:r>
    </w:p>
    <w:p w14:paraId="310A7EFC" w14:textId="06B7FD0E" w:rsidR="00427802" w:rsidRPr="003F1F63" w:rsidRDefault="00F11AA9" w:rsidP="00427802">
      <w:pPr>
        <w:spacing w:after="240"/>
        <w:rPr>
          <w:bdr w:val="none" w:sz="0" w:space="0" w:color="auto" w:frame="1"/>
          <w:shd w:val="clear" w:color="auto" w:fill="FFFFFF"/>
        </w:rPr>
      </w:pPr>
      <w:r w:rsidRPr="003F1F63">
        <w:rPr>
          <w:bdr w:val="none" w:sz="0" w:space="0" w:color="auto" w:frame="1"/>
          <w:shd w:val="clear" w:color="auto" w:fill="FFFFFF"/>
        </w:rPr>
        <w:t>In its July 10 memo, the Union also noted some failures in the Article 49 notice, including the Agency’s failure to provide the actual proposed policies related to space sharing</w:t>
      </w:r>
      <w:r w:rsidR="00427802" w:rsidRPr="003F1F63">
        <w:rPr>
          <w:bdr w:val="none" w:sz="0" w:space="0" w:color="auto" w:frame="1"/>
          <w:shd w:val="clear" w:color="auto" w:fill="FFFFFF"/>
        </w:rPr>
        <w:t xml:space="preserve">, including how </w:t>
      </w:r>
      <w:r w:rsidRPr="003F1F63">
        <w:rPr>
          <w:bdr w:val="none" w:sz="0" w:space="0" w:color="auto" w:frame="1"/>
          <w:shd w:val="clear" w:color="auto" w:fill="FFFFFF"/>
        </w:rPr>
        <w:t xml:space="preserve">HUD </w:t>
      </w:r>
      <w:r w:rsidR="00427802" w:rsidRPr="003F1F63">
        <w:rPr>
          <w:bdr w:val="none" w:sz="0" w:space="0" w:color="auto" w:frame="1"/>
          <w:shd w:val="clear" w:color="auto" w:fill="FFFFFF"/>
        </w:rPr>
        <w:t>would</w:t>
      </w:r>
      <w:r w:rsidRPr="003F1F63">
        <w:rPr>
          <w:bdr w:val="none" w:sz="0" w:space="0" w:color="auto" w:frame="1"/>
          <w:shd w:val="clear" w:color="auto" w:fill="FFFFFF"/>
        </w:rPr>
        <w:t xml:space="preserve"> decide whether to use hoteling or hot desking in any given location</w:t>
      </w:r>
      <w:r w:rsidR="00427802" w:rsidRPr="003F1F63">
        <w:rPr>
          <w:bdr w:val="none" w:sz="0" w:space="0" w:color="auto" w:frame="1"/>
          <w:shd w:val="clear" w:color="auto" w:fill="FFFFFF"/>
        </w:rPr>
        <w:t xml:space="preserve"> and</w:t>
      </w:r>
      <w:r w:rsidRPr="003F1F63">
        <w:rPr>
          <w:bdr w:val="none" w:sz="0" w:space="0" w:color="auto" w:frame="1"/>
          <w:shd w:val="clear" w:color="auto" w:fill="FFFFFF"/>
        </w:rPr>
        <w:t xml:space="preserve"> how or when an employee might reserve a hotel-type workstation. </w:t>
      </w:r>
      <w:r w:rsidR="00427802" w:rsidRPr="003F1F63">
        <w:rPr>
          <w:bdr w:val="none" w:sz="0" w:space="0" w:color="auto" w:frame="1"/>
          <w:shd w:val="clear" w:color="auto" w:fill="FFFFFF"/>
        </w:rPr>
        <w:t xml:space="preserve">The Union identified additional problems with the Agency’s Article 49 notice in a July 11, 2023, memo, which included failures to provide a rationale for implementing any particular space sharing method and information about a requisite reservation system for hoteling, as well as </w:t>
      </w:r>
      <w:r w:rsidR="00CD2D77" w:rsidRPr="003F1F63">
        <w:rPr>
          <w:bdr w:val="none" w:sz="0" w:space="0" w:color="auto" w:frame="1"/>
          <w:shd w:val="clear" w:color="auto" w:fill="FFFFFF"/>
        </w:rPr>
        <w:t xml:space="preserve">contract </w:t>
      </w:r>
      <w:r w:rsidR="00427802" w:rsidRPr="003F1F63">
        <w:rPr>
          <w:bdr w:val="none" w:sz="0" w:space="0" w:color="auto" w:frame="1"/>
          <w:shd w:val="clear" w:color="auto" w:fill="FFFFFF"/>
        </w:rPr>
        <w:t xml:space="preserve">violations in </w:t>
      </w:r>
      <w:r w:rsidR="00CD2D77" w:rsidRPr="003F1F63">
        <w:rPr>
          <w:bdr w:val="none" w:sz="0" w:space="0" w:color="auto" w:frame="1"/>
          <w:shd w:val="clear" w:color="auto" w:fill="FFFFFF"/>
        </w:rPr>
        <w:t>the proposed revision to Chapter 13. Management did not respond to these memoranda at all.</w:t>
      </w:r>
    </w:p>
    <w:p w14:paraId="66E52D7B" w14:textId="6F9BC644" w:rsidR="007060EA" w:rsidRPr="003F1F63" w:rsidRDefault="001B2F84" w:rsidP="00CB5133">
      <w:pPr>
        <w:spacing w:after="240"/>
        <w:rPr>
          <w:bdr w:val="none" w:sz="0" w:space="0" w:color="auto" w:frame="1"/>
          <w:shd w:val="clear" w:color="auto" w:fill="FFFFFF"/>
        </w:rPr>
      </w:pPr>
      <w:r w:rsidRPr="003F1F63">
        <w:rPr>
          <w:bdr w:val="none" w:sz="0" w:space="0" w:color="auto" w:frame="1"/>
          <w:shd w:val="clear" w:color="auto" w:fill="FFFFFF"/>
        </w:rPr>
        <w:t xml:space="preserve">Bargaining began on </w:t>
      </w:r>
      <w:r w:rsidR="00F11AA9" w:rsidRPr="003F1F63">
        <w:rPr>
          <w:bdr w:val="none" w:sz="0" w:space="0" w:color="auto" w:frame="1"/>
          <w:shd w:val="clear" w:color="auto" w:fill="FFFFFF"/>
        </w:rPr>
        <w:t xml:space="preserve">July 24, 2023. </w:t>
      </w:r>
      <w:r w:rsidR="00DB74BC" w:rsidRPr="003F1F63">
        <w:rPr>
          <w:bdr w:val="none" w:sz="0" w:space="0" w:color="auto" w:frame="1"/>
          <w:shd w:val="clear" w:color="auto" w:fill="FFFFFF"/>
        </w:rPr>
        <w:t xml:space="preserve">The Union provided </w:t>
      </w:r>
      <w:r w:rsidR="00BB6782" w:rsidRPr="003F1F63">
        <w:rPr>
          <w:bdr w:val="none" w:sz="0" w:space="0" w:color="auto" w:frame="1"/>
          <w:shd w:val="clear" w:color="auto" w:fill="FFFFFF"/>
        </w:rPr>
        <w:t>its</w:t>
      </w:r>
      <w:r w:rsidR="00DB74BC" w:rsidRPr="003F1F63">
        <w:rPr>
          <w:bdr w:val="none" w:sz="0" w:space="0" w:color="auto" w:frame="1"/>
          <w:shd w:val="clear" w:color="auto" w:fill="FFFFFF"/>
        </w:rPr>
        <w:t xml:space="preserve"> U-1 (first round) proposals to the Agency at 8:18 a.m., before negotiations were to commence at 9:00 a.m. After</w:t>
      </w:r>
      <w:r w:rsidR="00CD2D77" w:rsidRPr="003F1F63">
        <w:rPr>
          <w:bdr w:val="none" w:sz="0" w:space="0" w:color="auto" w:frame="1"/>
          <w:shd w:val="clear" w:color="auto" w:fill="FFFFFF"/>
        </w:rPr>
        <w:t xml:space="preserve"> bargaining had begun</w:t>
      </w:r>
      <w:r w:rsidR="000935F7" w:rsidRPr="003F1F63">
        <w:rPr>
          <w:bdr w:val="none" w:sz="0" w:space="0" w:color="auto" w:frame="1"/>
          <w:shd w:val="clear" w:color="auto" w:fill="FFFFFF"/>
        </w:rPr>
        <w:t xml:space="preserve">—in fact, after </w:t>
      </w:r>
      <w:r w:rsidR="00CD2D77" w:rsidRPr="003F1F63">
        <w:rPr>
          <w:bdr w:val="none" w:sz="0" w:space="0" w:color="auto" w:frame="1"/>
          <w:shd w:val="clear" w:color="auto" w:fill="FFFFFF"/>
        </w:rPr>
        <w:t xml:space="preserve">HUD’s Management team </w:t>
      </w:r>
      <w:r w:rsidR="000935F7" w:rsidRPr="003F1F63">
        <w:rPr>
          <w:bdr w:val="none" w:sz="0" w:space="0" w:color="auto" w:frame="1"/>
          <w:shd w:val="clear" w:color="auto" w:fill="FFFFFF"/>
        </w:rPr>
        <w:t xml:space="preserve">had provided a presentation to the Union—HUD </w:t>
      </w:r>
      <w:r w:rsidR="00CD2D77" w:rsidRPr="003F1F63">
        <w:rPr>
          <w:bdr w:val="none" w:sz="0" w:space="0" w:color="auto" w:frame="1"/>
          <w:shd w:val="clear" w:color="auto" w:fill="FFFFFF"/>
        </w:rPr>
        <w:lastRenderedPageBreak/>
        <w:t>announced that it had sent the incorrect version of the proposed revision to the Union</w:t>
      </w:r>
      <w:r w:rsidR="00DB74BC" w:rsidRPr="003F1F63">
        <w:rPr>
          <w:bdr w:val="none" w:sz="0" w:space="0" w:color="auto" w:frame="1"/>
          <w:shd w:val="clear" w:color="auto" w:fill="FFFFFF"/>
        </w:rPr>
        <w:t xml:space="preserve">, and </w:t>
      </w:r>
      <w:r w:rsidR="000935F7" w:rsidRPr="003F1F63">
        <w:rPr>
          <w:bdr w:val="none" w:sz="0" w:space="0" w:color="auto" w:frame="1"/>
          <w:shd w:val="clear" w:color="auto" w:fill="FFFFFF"/>
        </w:rPr>
        <w:t>delivered</w:t>
      </w:r>
      <w:r w:rsidR="00DB74BC" w:rsidRPr="003F1F63">
        <w:rPr>
          <w:bdr w:val="none" w:sz="0" w:space="0" w:color="auto" w:frame="1"/>
          <w:shd w:val="clear" w:color="auto" w:fill="FFFFFF"/>
        </w:rPr>
        <w:t xml:space="preserve"> the correct version of its proposed revision </w:t>
      </w:r>
      <w:r w:rsidR="00131974" w:rsidRPr="003F1F63">
        <w:rPr>
          <w:bdr w:val="none" w:sz="0" w:space="0" w:color="auto" w:frame="1"/>
          <w:shd w:val="clear" w:color="auto" w:fill="FFFFFF"/>
        </w:rPr>
        <w:t xml:space="preserve">of Chapter 13 </w:t>
      </w:r>
      <w:r w:rsidR="000935F7" w:rsidRPr="003F1F63">
        <w:rPr>
          <w:bdr w:val="none" w:sz="0" w:space="0" w:color="auto" w:frame="1"/>
          <w:shd w:val="clear" w:color="auto" w:fill="FFFFFF"/>
        </w:rPr>
        <w:t>on July 24 at</w:t>
      </w:r>
      <w:r w:rsidR="00DB74BC" w:rsidRPr="003F1F63">
        <w:rPr>
          <w:bdr w:val="none" w:sz="0" w:space="0" w:color="auto" w:frame="1"/>
          <w:shd w:val="clear" w:color="auto" w:fill="FFFFFF"/>
        </w:rPr>
        <w:t xml:space="preserve"> 12:51 p.m. </w:t>
      </w:r>
      <w:r w:rsidR="00632434" w:rsidRPr="003F1F63">
        <w:rPr>
          <w:bdr w:val="none" w:sz="0" w:space="0" w:color="auto" w:frame="1"/>
          <w:shd w:val="clear" w:color="auto" w:fill="FFFFFF"/>
        </w:rPr>
        <w:t>T</w:t>
      </w:r>
      <w:r w:rsidR="00DB74BC" w:rsidRPr="003F1F63">
        <w:rPr>
          <w:bdr w:val="none" w:sz="0" w:space="0" w:color="auto" w:frame="1"/>
          <w:shd w:val="clear" w:color="auto" w:fill="FFFFFF"/>
        </w:rPr>
        <w:t xml:space="preserve">he Union protested that the new </w:t>
      </w:r>
      <w:r w:rsidR="00632434" w:rsidRPr="003F1F63">
        <w:rPr>
          <w:bdr w:val="none" w:sz="0" w:space="0" w:color="auto" w:frame="1"/>
          <w:shd w:val="clear" w:color="auto" w:fill="FFFFFF"/>
        </w:rPr>
        <w:t>draft was significantly different than the previous version, and therefore required a corrected Article 49 notice and the fifteen days permitted under Section 49.04 for the Union to respond. The Agency insisted that their new Chapter 13 represented only “new or modified information provided by the other party,” pursuant to Section 49.06(i), and that the Union was limited to submitting new proposals only insofar as they were based on the information</w:t>
      </w:r>
      <w:r w:rsidR="004F6CA0" w:rsidRPr="003F1F63">
        <w:rPr>
          <w:bdr w:val="none" w:sz="0" w:space="0" w:color="auto" w:frame="1"/>
          <w:shd w:val="clear" w:color="auto" w:fill="FFFFFF"/>
        </w:rPr>
        <w:t xml:space="preserve"> that differed from the Agency’s original submission. Thus, HUD agreed to grant the Union only four business days to review the new document and required the </w:t>
      </w:r>
      <w:r w:rsidR="004E0757" w:rsidRPr="003F1F63">
        <w:rPr>
          <w:bdr w:val="none" w:sz="0" w:space="0" w:color="auto" w:frame="1"/>
          <w:shd w:val="clear" w:color="auto" w:fill="FFFFFF"/>
        </w:rPr>
        <w:t>P</w:t>
      </w:r>
      <w:r w:rsidR="004F6CA0" w:rsidRPr="003F1F63">
        <w:rPr>
          <w:bdr w:val="none" w:sz="0" w:space="0" w:color="auto" w:frame="1"/>
          <w:shd w:val="clear" w:color="auto" w:fill="FFFFFF"/>
        </w:rPr>
        <w:t xml:space="preserve">arties to reconvene on July 31. </w:t>
      </w:r>
    </w:p>
    <w:p w14:paraId="0FAE8AD2" w14:textId="20913CB8" w:rsidR="001405BD" w:rsidRPr="003F1F63" w:rsidRDefault="001405BD" w:rsidP="00CB5133">
      <w:pPr>
        <w:spacing w:after="240"/>
        <w:rPr>
          <w:bdr w:val="none" w:sz="0" w:space="0" w:color="auto" w:frame="1"/>
          <w:shd w:val="clear" w:color="auto" w:fill="FFFFFF"/>
        </w:rPr>
      </w:pPr>
      <w:r w:rsidRPr="003F1F63">
        <w:rPr>
          <w:bdr w:val="none" w:sz="0" w:space="0" w:color="auto" w:frame="1"/>
          <w:shd w:val="clear" w:color="auto" w:fill="FFFFFF"/>
        </w:rPr>
        <w:t xml:space="preserve">This ULP-GOP is based on the Agency’s actions on and subsequent to July 24, 2023. </w:t>
      </w:r>
      <w:r w:rsidR="001A2E1C">
        <w:rPr>
          <w:bdr w:val="none" w:sz="0" w:space="0" w:color="auto" w:frame="1"/>
          <w:shd w:val="clear" w:color="auto" w:fill="FFFFFF"/>
        </w:rPr>
        <w:t xml:space="preserve">The Agency may claim that </w:t>
      </w:r>
      <w:r w:rsidR="00C451DD">
        <w:rPr>
          <w:bdr w:val="none" w:sz="0" w:space="0" w:color="auto" w:frame="1"/>
          <w:shd w:val="clear" w:color="auto" w:fill="FFFFFF"/>
        </w:rPr>
        <w:t xml:space="preserve">some of the violations mentioned below, such </w:t>
      </w:r>
      <w:r w:rsidR="00C451DD" w:rsidRPr="003F1F63">
        <w:rPr>
          <w:bdr w:val="none" w:sz="0" w:space="0" w:color="auto" w:frame="1"/>
          <w:shd w:val="clear" w:color="auto" w:fill="FFFFFF"/>
        </w:rPr>
        <w:t>failure to provide the actual proposed policies related to space sharing</w:t>
      </w:r>
      <w:r w:rsidR="00C451DD">
        <w:rPr>
          <w:bdr w:val="none" w:sz="0" w:space="0" w:color="auto" w:frame="1"/>
          <w:shd w:val="clear" w:color="auto" w:fill="FFFFFF"/>
        </w:rPr>
        <w:t xml:space="preserve">, date </w:t>
      </w:r>
      <w:r w:rsidR="001A2E1C">
        <w:rPr>
          <w:bdr w:val="none" w:sz="0" w:space="0" w:color="auto" w:frame="1"/>
          <w:shd w:val="clear" w:color="auto" w:fill="FFFFFF"/>
        </w:rPr>
        <w:t>from</w:t>
      </w:r>
      <w:r w:rsidR="00C451DD">
        <w:rPr>
          <w:bdr w:val="none" w:sz="0" w:space="0" w:color="auto" w:frame="1"/>
          <w:shd w:val="clear" w:color="auto" w:fill="FFFFFF"/>
        </w:rPr>
        <w:t xml:space="preserve"> the </w:t>
      </w:r>
      <w:r w:rsidR="001A2E1C">
        <w:rPr>
          <w:bdr w:val="none" w:sz="0" w:space="0" w:color="auto" w:frame="1"/>
          <w:shd w:val="clear" w:color="auto" w:fill="FFFFFF"/>
        </w:rPr>
        <w:t>Agency’s June 26 notice. The June 26 notice</w:t>
      </w:r>
      <w:r w:rsidR="00353455">
        <w:rPr>
          <w:bdr w:val="none" w:sz="0" w:space="0" w:color="auto" w:frame="1"/>
          <w:shd w:val="clear" w:color="auto" w:fill="FFFFFF"/>
        </w:rPr>
        <w:t>, however,</w:t>
      </w:r>
      <w:r w:rsidR="001A2E1C">
        <w:rPr>
          <w:bdr w:val="none" w:sz="0" w:space="0" w:color="auto" w:frame="1"/>
          <w:shd w:val="clear" w:color="auto" w:fill="FFFFFF"/>
        </w:rPr>
        <w:t xml:space="preserve"> </w:t>
      </w:r>
      <w:proofErr w:type="gramStart"/>
      <w:r w:rsidR="001A2E1C">
        <w:rPr>
          <w:bdr w:val="none" w:sz="0" w:space="0" w:color="auto" w:frame="1"/>
          <w:shd w:val="clear" w:color="auto" w:fill="FFFFFF"/>
        </w:rPr>
        <w:t>was superseded</w:t>
      </w:r>
      <w:proofErr w:type="gramEnd"/>
      <w:r w:rsidR="001A2E1C">
        <w:rPr>
          <w:bdr w:val="none" w:sz="0" w:space="0" w:color="auto" w:frame="1"/>
          <w:shd w:val="clear" w:color="auto" w:fill="FFFFFF"/>
        </w:rPr>
        <w:t xml:space="preserve"> by the Agency’s July 24 issuance of a new proposed change, which properly should have included a complete Article 49 notice</w:t>
      </w:r>
      <w:r w:rsidR="003860C8">
        <w:rPr>
          <w:bdr w:val="none" w:sz="0" w:space="0" w:color="auto" w:frame="1"/>
          <w:shd w:val="clear" w:color="auto" w:fill="FFFFFF"/>
        </w:rPr>
        <w:t xml:space="preserve"> and restarted all timelines</w:t>
      </w:r>
      <w:r w:rsidR="001A2E1C">
        <w:rPr>
          <w:bdr w:val="none" w:sz="0" w:space="0" w:color="auto" w:frame="1"/>
          <w:shd w:val="clear" w:color="auto" w:fill="FFFFFF"/>
        </w:rPr>
        <w:t xml:space="preserve">. </w:t>
      </w:r>
      <w:r w:rsidR="00353455">
        <w:rPr>
          <w:bdr w:val="none" w:sz="0" w:space="0" w:color="auto" w:frame="1"/>
          <w:shd w:val="clear" w:color="auto" w:fill="FFFFFF"/>
        </w:rPr>
        <w:t>Furthermore</w:t>
      </w:r>
      <w:r w:rsidR="001A2E1C">
        <w:rPr>
          <w:bdr w:val="none" w:sz="0" w:space="0" w:color="auto" w:frame="1"/>
          <w:shd w:val="clear" w:color="auto" w:fill="FFFFFF"/>
        </w:rPr>
        <w:t>, these are continuing violations as the Agency has continued to fail to produce the actual proposed policies</w:t>
      </w:r>
      <w:r w:rsidR="003860C8">
        <w:rPr>
          <w:bdr w:val="none" w:sz="0" w:space="0" w:color="auto" w:frame="1"/>
          <w:shd w:val="clear" w:color="auto" w:fill="FFFFFF"/>
        </w:rPr>
        <w:t xml:space="preserve"> and other proposed changes</w:t>
      </w:r>
      <w:r w:rsidR="0046637A">
        <w:rPr>
          <w:bdr w:val="none" w:sz="0" w:space="0" w:color="auto" w:frame="1"/>
          <w:shd w:val="clear" w:color="auto" w:fill="FFFFFF"/>
        </w:rPr>
        <w:t xml:space="preserve">. A continuing failure to provide </w:t>
      </w:r>
      <w:r w:rsidR="0046637A" w:rsidRPr="0046637A">
        <w:rPr>
          <w:bdr w:val="none" w:sz="0" w:space="0" w:color="auto" w:frame="1"/>
          <w:shd w:val="clear" w:color="auto" w:fill="FFFFFF"/>
        </w:rPr>
        <w:t xml:space="preserve">sufficiently specific </w:t>
      </w:r>
      <w:r w:rsidR="0046637A">
        <w:rPr>
          <w:bdr w:val="none" w:sz="0" w:space="0" w:color="auto" w:frame="1"/>
          <w:shd w:val="clear" w:color="auto" w:fill="FFFFFF"/>
        </w:rPr>
        <w:t>and</w:t>
      </w:r>
      <w:r w:rsidR="0046637A" w:rsidRPr="0046637A">
        <w:rPr>
          <w:bdr w:val="none" w:sz="0" w:space="0" w:color="auto" w:frame="1"/>
          <w:shd w:val="clear" w:color="auto" w:fill="FFFFFF"/>
        </w:rPr>
        <w:t xml:space="preserve"> definitive</w:t>
      </w:r>
      <w:r w:rsidR="0046637A">
        <w:rPr>
          <w:bdr w:val="none" w:sz="0" w:space="0" w:color="auto" w:frame="1"/>
          <w:shd w:val="clear" w:color="auto" w:fill="FFFFFF"/>
        </w:rPr>
        <w:t xml:space="preserve"> information</w:t>
      </w:r>
      <w:r w:rsidR="0046637A" w:rsidRPr="0046637A">
        <w:rPr>
          <w:bdr w:val="none" w:sz="0" w:space="0" w:color="auto" w:frame="1"/>
          <w:shd w:val="clear" w:color="auto" w:fill="FFFFFF"/>
        </w:rPr>
        <w:t xml:space="preserve"> regarding the actual change</w:t>
      </w:r>
      <w:r w:rsidR="0046637A">
        <w:rPr>
          <w:bdr w:val="none" w:sz="0" w:space="0" w:color="auto" w:frame="1"/>
          <w:shd w:val="clear" w:color="auto" w:fill="FFFFFF"/>
        </w:rPr>
        <w:t>s proposed—in other words, an omission</w:t>
      </w:r>
      <w:r w:rsidR="0046637A">
        <w:t>—</w:t>
      </w:r>
      <w:r w:rsidR="0046637A">
        <w:rPr>
          <w:bdr w:val="none" w:sz="0" w:space="0" w:color="auto" w:frame="1"/>
          <w:shd w:val="clear" w:color="auto" w:fill="FFFFFF"/>
        </w:rPr>
        <w:t xml:space="preserve">cannot </w:t>
      </w:r>
      <w:proofErr w:type="gramStart"/>
      <w:r w:rsidR="0046637A">
        <w:rPr>
          <w:bdr w:val="none" w:sz="0" w:space="0" w:color="auto" w:frame="1"/>
          <w:shd w:val="clear" w:color="auto" w:fill="FFFFFF"/>
        </w:rPr>
        <w:t>be tied</w:t>
      </w:r>
      <w:proofErr w:type="gramEnd"/>
      <w:r w:rsidR="0046637A">
        <w:rPr>
          <w:bdr w:val="none" w:sz="0" w:space="0" w:color="auto" w:frame="1"/>
          <w:shd w:val="clear" w:color="auto" w:fill="FFFFFF"/>
        </w:rPr>
        <w:t xml:space="preserve"> to a particular date the way committing an action </w:t>
      </w:r>
      <w:r w:rsidR="003860C8">
        <w:rPr>
          <w:bdr w:val="none" w:sz="0" w:space="0" w:color="auto" w:frame="1"/>
          <w:shd w:val="clear" w:color="auto" w:fill="FFFFFF"/>
        </w:rPr>
        <w:t>may be</w:t>
      </w:r>
      <w:r w:rsidR="0046637A">
        <w:rPr>
          <w:bdr w:val="none" w:sz="0" w:space="0" w:color="auto" w:frame="1"/>
          <w:shd w:val="clear" w:color="auto" w:fill="FFFFFF"/>
        </w:rPr>
        <w:t>. Under Article 51,</w:t>
      </w:r>
      <w:r w:rsidR="0046637A" w:rsidRPr="0046637A">
        <w:t xml:space="preserve"> </w:t>
      </w:r>
      <w:r w:rsidR="0046637A" w:rsidRPr="0046637A">
        <w:rPr>
          <w:bdr w:val="none" w:sz="0" w:space="0" w:color="auto" w:frame="1"/>
          <w:shd w:val="clear" w:color="auto" w:fill="FFFFFF"/>
        </w:rPr>
        <w:t>Section 51.06</w:t>
      </w:r>
      <w:r w:rsidR="0046637A">
        <w:rPr>
          <w:bdr w:val="none" w:sz="0" w:space="0" w:color="auto" w:frame="1"/>
          <w:shd w:val="clear" w:color="auto" w:fill="FFFFFF"/>
        </w:rPr>
        <w:t>, a</w:t>
      </w:r>
      <w:r w:rsidR="001A2E1C" w:rsidRPr="001A2E1C">
        <w:rPr>
          <w:bdr w:val="none" w:sz="0" w:space="0" w:color="auto" w:frame="1"/>
          <w:shd w:val="clear" w:color="auto" w:fill="FFFFFF"/>
        </w:rPr>
        <w:t xml:space="preserve"> continuing violation may </w:t>
      </w:r>
      <w:proofErr w:type="gramStart"/>
      <w:r w:rsidR="001A2E1C" w:rsidRPr="001A2E1C">
        <w:rPr>
          <w:bdr w:val="none" w:sz="0" w:space="0" w:color="auto" w:frame="1"/>
          <w:shd w:val="clear" w:color="auto" w:fill="FFFFFF"/>
        </w:rPr>
        <w:t>be grieved</w:t>
      </w:r>
      <w:proofErr w:type="gramEnd"/>
      <w:r w:rsidR="001A2E1C" w:rsidRPr="001A2E1C">
        <w:rPr>
          <w:bdr w:val="none" w:sz="0" w:space="0" w:color="auto" w:frame="1"/>
          <w:shd w:val="clear" w:color="auto" w:fill="FFFFFF"/>
        </w:rPr>
        <w:t xml:space="preserve"> at any time.</w:t>
      </w:r>
    </w:p>
    <w:p w14:paraId="00F8C70E" w14:textId="77777777" w:rsidR="004F6CA0" w:rsidRPr="003F1F63" w:rsidRDefault="004F6CA0" w:rsidP="00CB5133">
      <w:pPr>
        <w:spacing w:after="240"/>
        <w:rPr>
          <w:b/>
          <w:bCs/>
          <w:bdr w:val="none" w:sz="0" w:space="0" w:color="auto" w:frame="1"/>
          <w:shd w:val="clear" w:color="auto" w:fill="FFFFFF"/>
        </w:rPr>
      </w:pPr>
      <w:r w:rsidRPr="003F1F63">
        <w:rPr>
          <w:b/>
          <w:bCs/>
          <w:bdr w:val="none" w:sz="0" w:space="0" w:color="auto" w:frame="1"/>
          <w:shd w:val="clear" w:color="auto" w:fill="FFFFFF"/>
        </w:rPr>
        <w:t xml:space="preserve">Violations of the CBA </w:t>
      </w:r>
    </w:p>
    <w:p w14:paraId="5CC805D4" w14:textId="00EAAA41" w:rsidR="004F6CA0" w:rsidRPr="003F1F63" w:rsidRDefault="004F6CA0" w:rsidP="00CB5133">
      <w:pPr>
        <w:spacing w:after="240"/>
        <w:rPr>
          <w:bdr w:val="none" w:sz="0" w:space="0" w:color="auto" w:frame="1"/>
          <w:shd w:val="clear" w:color="auto" w:fill="FFFFFF"/>
        </w:rPr>
      </w:pPr>
      <w:r w:rsidRPr="003F1F63">
        <w:rPr>
          <w:bdr w:val="none" w:sz="0" w:space="0" w:color="auto" w:frame="1"/>
          <w:shd w:val="clear" w:color="auto" w:fill="FFFFFF"/>
        </w:rPr>
        <w:t xml:space="preserve">1. HUD violated Article 49, Section 49.03(4), by failing to provide </w:t>
      </w:r>
      <w:r w:rsidR="00CE56D4" w:rsidRPr="003F1F63">
        <w:rPr>
          <w:bdr w:val="none" w:sz="0" w:space="0" w:color="auto" w:frame="1"/>
          <w:shd w:val="clear" w:color="auto" w:fill="FFFFFF"/>
        </w:rPr>
        <w:t xml:space="preserve">an Article 49 notice that identified each and all proposed changes to current policies and practices, including </w:t>
      </w:r>
      <w:r w:rsidRPr="003F1F63">
        <w:rPr>
          <w:bdr w:val="none" w:sz="0" w:space="0" w:color="auto" w:frame="1"/>
          <w:shd w:val="clear" w:color="auto" w:fill="FFFFFF"/>
        </w:rPr>
        <w:t>the “nature, scope, and rationale for the proposed change” and “</w:t>
      </w:r>
      <w:r w:rsidR="00BB6782" w:rsidRPr="003F1F63">
        <w:rPr>
          <w:bdr w:val="none" w:sz="0" w:space="0" w:color="auto" w:frame="1"/>
          <w:shd w:val="clear" w:color="auto" w:fill="FFFFFF"/>
        </w:rPr>
        <w:t xml:space="preserve">a copy of the statement of the proposed new policy or practice.” </w:t>
      </w:r>
    </w:p>
    <w:p w14:paraId="1B22804C" w14:textId="71DAF63A" w:rsidR="00A5296C" w:rsidRPr="00A5296C" w:rsidRDefault="00BB6782" w:rsidP="00A5296C">
      <w:pPr>
        <w:pStyle w:val="ListParagraph"/>
        <w:numPr>
          <w:ilvl w:val="0"/>
          <w:numId w:val="23"/>
        </w:numPr>
        <w:rPr>
          <w:bdr w:val="none" w:sz="0" w:space="0" w:color="auto" w:frame="1"/>
          <w:shd w:val="clear" w:color="auto" w:fill="FFFFFF"/>
        </w:rPr>
      </w:pPr>
      <w:r w:rsidRPr="003F1F63">
        <w:rPr>
          <w:bdr w:val="none" w:sz="0" w:space="0" w:color="auto" w:frame="1"/>
          <w:shd w:val="clear" w:color="auto" w:fill="FFFFFF"/>
        </w:rPr>
        <w:t xml:space="preserve">HUD failed to provide a </w:t>
      </w:r>
      <w:r w:rsidR="003860C8">
        <w:rPr>
          <w:bdr w:val="none" w:sz="0" w:space="0" w:color="auto" w:frame="1"/>
          <w:shd w:val="clear" w:color="auto" w:fill="FFFFFF"/>
        </w:rPr>
        <w:t xml:space="preserve">proper Article 49 notice </w:t>
      </w:r>
      <w:r w:rsidR="00A5296C">
        <w:rPr>
          <w:bdr w:val="none" w:sz="0" w:space="0" w:color="auto" w:frame="1"/>
          <w:shd w:val="clear" w:color="auto" w:fill="FFFFFF"/>
        </w:rPr>
        <w:t>when it delivered the July 24 version of Chapter 13</w:t>
      </w:r>
      <w:r w:rsidRPr="003F1F63">
        <w:rPr>
          <w:bdr w:val="none" w:sz="0" w:space="0" w:color="auto" w:frame="1"/>
          <w:shd w:val="clear" w:color="auto" w:fill="FFFFFF"/>
        </w:rPr>
        <w:t xml:space="preserve">. The July 24 version </w:t>
      </w:r>
      <w:r w:rsidR="00DA1BE5" w:rsidRPr="003F1F63">
        <w:rPr>
          <w:bdr w:val="none" w:sz="0" w:space="0" w:color="auto" w:frame="1"/>
          <w:shd w:val="clear" w:color="auto" w:fill="FFFFFF"/>
        </w:rPr>
        <w:t xml:space="preserve">of Chapter 13 </w:t>
      </w:r>
      <w:r w:rsidRPr="003F1F63">
        <w:rPr>
          <w:bdr w:val="none" w:sz="0" w:space="0" w:color="auto" w:frame="1"/>
          <w:shd w:val="clear" w:color="auto" w:fill="FFFFFF"/>
        </w:rPr>
        <w:t xml:space="preserve">was not merely “new or modified information,” such as a clarification of information </w:t>
      </w:r>
      <w:r w:rsidR="00353455">
        <w:rPr>
          <w:bdr w:val="none" w:sz="0" w:space="0" w:color="auto" w:frame="1"/>
          <w:shd w:val="clear" w:color="auto" w:fill="FFFFFF"/>
        </w:rPr>
        <w:t>previously</w:t>
      </w:r>
      <w:r w:rsidRPr="003F1F63">
        <w:rPr>
          <w:bdr w:val="none" w:sz="0" w:space="0" w:color="auto" w:frame="1"/>
          <w:shd w:val="clear" w:color="auto" w:fill="FFFFFF"/>
        </w:rPr>
        <w:t xml:space="preserve"> provided, but an actual revision to key sections and changes to definitions that completely changed the meaning of the document as a whole. </w:t>
      </w:r>
      <w:r w:rsidR="00A5296C">
        <w:rPr>
          <w:bdr w:val="none" w:sz="0" w:space="0" w:color="auto" w:frame="1"/>
          <w:shd w:val="clear" w:color="auto" w:fill="FFFFFF"/>
        </w:rPr>
        <w:t xml:space="preserve">The Agency did not identify each and all proposed changes to current policies and practices in that July 24 document. </w:t>
      </w:r>
    </w:p>
    <w:p w14:paraId="04B786CB" w14:textId="77777777" w:rsidR="00CE56D4" w:rsidRPr="003F1F63" w:rsidRDefault="00CE56D4" w:rsidP="00CE56D4">
      <w:pPr>
        <w:pStyle w:val="ListParagraph"/>
        <w:numPr>
          <w:ilvl w:val="0"/>
          <w:numId w:val="23"/>
        </w:numPr>
        <w:rPr>
          <w:bdr w:val="none" w:sz="0" w:space="0" w:color="auto" w:frame="1"/>
          <w:shd w:val="clear" w:color="auto" w:fill="FFFFFF"/>
        </w:rPr>
      </w:pPr>
      <w:r w:rsidRPr="003F1F63">
        <w:rPr>
          <w:bdr w:val="none" w:sz="0" w:space="0" w:color="auto" w:frame="1"/>
          <w:shd w:val="clear" w:color="auto" w:fill="FFFFFF"/>
        </w:rPr>
        <w:t xml:space="preserve">HUD did not provide the nature or scope of its specific policies related to reserving workspace until its M-3 counterproposal of August 31, when it proposed to the Union that employees could reserve workspace one pay period in advance, and that all hoteling workstations would be available to all employees of a specific field location or HQ program office. Management has still failed to provide other specific policies, such as whether there are limits to who may reserve certain conference rooms, limits on the number of reservations an employee can hold, how to reserve conference space more than two weeks in advance, and cancellation policies. </w:t>
      </w:r>
    </w:p>
    <w:p w14:paraId="33BE0D75" w14:textId="291CA5B1" w:rsidR="00D72C8D" w:rsidRPr="003F1F63" w:rsidRDefault="00B135CE" w:rsidP="00DA1BE5">
      <w:pPr>
        <w:pStyle w:val="ListParagraph"/>
        <w:numPr>
          <w:ilvl w:val="0"/>
          <w:numId w:val="23"/>
        </w:numPr>
        <w:rPr>
          <w:bdr w:val="none" w:sz="0" w:space="0" w:color="auto" w:frame="1"/>
          <w:shd w:val="clear" w:color="auto" w:fill="FFFFFF"/>
        </w:rPr>
      </w:pPr>
      <w:r w:rsidRPr="003F1F63">
        <w:rPr>
          <w:bdr w:val="none" w:sz="0" w:space="0" w:color="auto" w:frame="1"/>
          <w:shd w:val="clear" w:color="auto" w:fill="FFFFFF"/>
        </w:rPr>
        <w:lastRenderedPageBreak/>
        <w:t>HUD also failed to provide</w:t>
      </w:r>
      <w:r w:rsidR="00D72C8D" w:rsidRPr="003F1F63">
        <w:rPr>
          <w:bdr w:val="none" w:sz="0" w:space="0" w:color="auto" w:frame="1"/>
          <w:shd w:val="clear" w:color="auto" w:fill="FFFFFF"/>
        </w:rPr>
        <w:t>,</w:t>
      </w:r>
      <w:r w:rsidRPr="003F1F63">
        <w:rPr>
          <w:bdr w:val="none" w:sz="0" w:space="0" w:color="auto" w:frame="1"/>
          <w:shd w:val="clear" w:color="auto" w:fill="FFFFFF"/>
        </w:rPr>
        <w:t xml:space="preserve"> and has yet to provide</w:t>
      </w:r>
      <w:r w:rsidR="00D72C8D" w:rsidRPr="003F1F63">
        <w:rPr>
          <w:bdr w:val="none" w:sz="0" w:space="0" w:color="auto" w:frame="1"/>
          <w:shd w:val="clear" w:color="auto" w:fill="FFFFFF"/>
        </w:rPr>
        <w:t>,</w:t>
      </w:r>
      <w:r w:rsidRPr="003F1F63">
        <w:rPr>
          <w:bdr w:val="none" w:sz="0" w:space="0" w:color="auto" w:frame="1"/>
          <w:shd w:val="clear" w:color="auto" w:fill="FFFFFF"/>
        </w:rPr>
        <w:t xml:space="preserve"> the nature, scope, and rationale for key changes to practices such as identifying one’s workstation</w:t>
      </w:r>
      <w:r w:rsidR="005C0C1E" w:rsidRPr="003F1F63">
        <w:rPr>
          <w:bdr w:val="none" w:sz="0" w:space="0" w:color="auto" w:frame="1"/>
          <w:shd w:val="clear" w:color="auto" w:fill="FFFFFF"/>
        </w:rPr>
        <w:t>. T</w:t>
      </w:r>
      <w:r w:rsidRPr="003F1F63">
        <w:rPr>
          <w:bdr w:val="none" w:sz="0" w:space="0" w:color="auto" w:frame="1"/>
          <w:shd w:val="clear" w:color="auto" w:fill="FFFFFF"/>
        </w:rPr>
        <w:t xml:space="preserve">he Agency has not clearly identified the process for reserving shared workstations, </w:t>
      </w:r>
      <w:r w:rsidR="00DA1BE5" w:rsidRPr="003F1F63">
        <w:rPr>
          <w:bdr w:val="none" w:sz="0" w:space="0" w:color="auto" w:frame="1"/>
          <w:shd w:val="clear" w:color="auto" w:fill="FFFFFF"/>
        </w:rPr>
        <w:t>initially</w:t>
      </w:r>
      <w:r w:rsidRPr="003F1F63">
        <w:rPr>
          <w:bdr w:val="none" w:sz="0" w:space="0" w:color="auto" w:frame="1"/>
          <w:shd w:val="clear" w:color="auto" w:fill="FFFFFF"/>
        </w:rPr>
        <w:t xml:space="preserve"> suggesting use of a commercial space management system</w:t>
      </w:r>
      <w:r w:rsidR="005C0C1E" w:rsidRPr="003F1F63">
        <w:rPr>
          <w:bdr w:val="none" w:sz="0" w:space="0" w:color="auto" w:frame="1"/>
          <w:shd w:val="clear" w:color="auto" w:fill="FFFFFF"/>
        </w:rPr>
        <w:t>, Nuvolo, in a July 19 response to the Union’s request for information,</w:t>
      </w:r>
      <w:r w:rsidRPr="003F1F63">
        <w:rPr>
          <w:bdr w:val="none" w:sz="0" w:space="0" w:color="auto" w:frame="1"/>
          <w:shd w:val="clear" w:color="auto" w:fill="FFFFFF"/>
        </w:rPr>
        <w:t xml:space="preserve"> </w:t>
      </w:r>
      <w:r w:rsidR="00DA1BE5" w:rsidRPr="003F1F63">
        <w:rPr>
          <w:bdr w:val="none" w:sz="0" w:space="0" w:color="auto" w:frame="1"/>
          <w:shd w:val="clear" w:color="auto" w:fill="FFFFFF"/>
        </w:rPr>
        <w:t xml:space="preserve">but on August 28 </w:t>
      </w:r>
      <w:r w:rsidR="005C0C1E" w:rsidRPr="003F1F63">
        <w:rPr>
          <w:bdr w:val="none" w:sz="0" w:space="0" w:color="auto" w:frame="1"/>
          <w:shd w:val="clear" w:color="auto" w:fill="FFFFFF"/>
        </w:rPr>
        <w:t xml:space="preserve">in M-2 </w:t>
      </w:r>
      <w:r w:rsidR="00DA1BE5" w:rsidRPr="003F1F63">
        <w:rPr>
          <w:bdr w:val="none" w:sz="0" w:space="0" w:color="auto" w:frame="1"/>
          <w:shd w:val="clear" w:color="auto" w:fill="FFFFFF"/>
        </w:rPr>
        <w:t>mention</w:t>
      </w:r>
      <w:r w:rsidR="005C0C1E" w:rsidRPr="003F1F63">
        <w:rPr>
          <w:bdr w:val="none" w:sz="0" w:space="0" w:color="auto" w:frame="1"/>
          <w:shd w:val="clear" w:color="auto" w:fill="FFFFFF"/>
        </w:rPr>
        <w:t>ed</w:t>
      </w:r>
      <w:r w:rsidR="00DA1BE5" w:rsidRPr="003F1F63">
        <w:rPr>
          <w:bdr w:val="none" w:sz="0" w:space="0" w:color="auto" w:frame="1"/>
          <w:shd w:val="clear" w:color="auto" w:fill="FFFFFF"/>
        </w:rPr>
        <w:t xml:space="preserve"> us</w:t>
      </w:r>
      <w:r w:rsidR="005C0C1E" w:rsidRPr="003F1F63">
        <w:rPr>
          <w:bdr w:val="none" w:sz="0" w:space="0" w:color="auto" w:frame="1"/>
          <w:shd w:val="clear" w:color="auto" w:fill="FFFFFF"/>
        </w:rPr>
        <w:t>ing</w:t>
      </w:r>
      <w:r w:rsidRPr="003F1F63">
        <w:rPr>
          <w:bdr w:val="none" w:sz="0" w:space="0" w:color="auto" w:frame="1"/>
          <w:shd w:val="clear" w:color="auto" w:fill="FFFFFF"/>
        </w:rPr>
        <w:t xml:space="preserve"> SharePoint</w:t>
      </w:r>
      <w:r w:rsidR="005C0C1E" w:rsidRPr="003F1F63">
        <w:rPr>
          <w:bdr w:val="none" w:sz="0" w:space="0" w:color="auto" w:frame="1"/>
          <w:shd w:val="clear" w:color="auto" w:fill="FFFFFF"/>
        </w:rPr>
        <w:t xml:space="preserve">. HUD </w:t>
      </w:r>
      <w:r w:rsidR="00353455">
        <w:rPr>
          <w:bdr w:val="none" w:sz="0" w:space="0" w:color="auto" w:frame="1"/>
          <w:shd w:val="clear" w:color="auto" w:fill="FFFFFF"/>
        </w:rPr>
        <w:t xml:space="preserve">has </w:t>
      </w:r>
      <w:r w:rsidR="005C0C1E" w:rsidRPr="003F1F63">
        <w:rPr>
          <w:bdr w:val="none" w:sz="0" w:space="0" w:color="auto" w:frame="1"/>
          <w:shd w:val="clear" w:color="auto" w:fill="FFFFFF"/>
        </w:rPr>
        <w:t>provided only Nuvolo’s advertising language</w:t>
      </w:r>
      <w:r w:rsidR="008203C5" w:rsidRPr="003F1F63">
        <w:rPr>
          <w:bdr w:val="none" w:sz="0" w:space="0" w:color="auto" w:frame="1"/>
          <w:shd w:val="clear" w:color="auto" w:fill="FFFFFF"/>
        </w:rPr>
        <w:t>, which used as yet undefined terms (</w:t>
      </w:r>
      <w:r w:rsidR="00D72C8D" w:rsidRPr="003F1F63">
        <w:rPr>
          <w:bdr w:val="none" w:sz="0" w:space="0" w:color="auto" w:frame="1"/>
          <w:shd w:val="clear" w:color="auto" w:fill="FFFFFF"/>
        </w:rPr>
        <w:t>wayfinding, neighborhoods)</w:t>
      </w:r>
      <w:r w:rsidR="005C0C1E" w:rsidRPr="003F1F63">
        <w:rPr>
          <w:bdr w:val="none" w:sz="0" w:space="0" w:color="auto" w:frame="1"/>
          <w:shd w:val="clear" w:color="auto" w:fill="FFFFFF"/>
        </w:rPr>
        <w:t xml:space="preserve"> </w:t>
      </w:r>
      <w:r w:rsidR="00D72C8D" w:rsidRPr="003F1F63">
        <w:rPr>
          <w:bdr w:val="none" w:sz="0" w:space="0" w:color="auto" w:frame="1"/>
          <w:shd w:val="clear" w:color="auto" w:fill="FFFFFF"/>
        </w:rPr>
        <w:t>and</w:t>
      </w:r>
      <w:r w:rsidR="00DA1BE5" w:rsidRPr="003F1F63">
        <w:rPr>
          <w:bdr w:val="none" w:sz="0" w:space="0" w:color="auto" w:frame="1"/>
          <w:shd w:val="clear" w:color="auto" w:fill="FFFFFF"/>
        </w:rPr>
        <w:t xml:space="preserve"> no details </w:t>
      </w:r>
      <w:r w:rsidR="00D72C8D" w:rsidRPr="003F1F63">
        <w:rPr>
          <w:bdr w:val="none" w:sz="0" w:space="0" w:color="auto" w:frame="1"/>
          <w:shd w:val="clear" w:color="auto" w:fill="FFFFFF"/>
        </w:rPr>
        <w:t xml:space="preserve">about how SharePoint might </w:t>
      </w:r>
      <w:proofErr w:type="gramStart"/>
      <w:r w:rsidR="00D72C8D" w:rsidRPr="003F1F63">
        <w:rPr>
          <w:bdr w:val="none" w:sz="0" w:space="0" w:color="auto" w:frame="1"/>
          <w:shd w:val="clear" w:color="auto" w:fill="FFFFFF"/>
        </w:rPr>
        <w:t>be utilized</w:t>
      </w:r>
      <w:proofErr w:type="gramEnd"/>
      <w:r w:rsidR="00D72C8D" w:rsidRPr="003F1F63">
        <w:rPr>
          <w:bdr w:val="none" w:sz="0" w:space="0" w:color="auto" w:frame="1"/>
          <w:shd w:val="clear" w:color="auto" w:fill="FFFFFF"/>
        </w:rPr>
        <w:t xml:space="preserve">. </w:t>
      </w:r>
    </w:p>
    <w:p w14:paraId="03F0D614" w14:textId="308C3E26" w:rsidR="00B135CE" w:rsidRPr="003F1F63" w:rsidRDefault="00D72C8D" w:rsidP="00DA1BE5">
      <w:pPr>
        <w:pStyle w:val="ListParagraph"/>
        <w:numPr>
          <w:ilvl w:val="0"/>
          <w:numId w:val="23"/>
        </w:numPr>
        <w:rPr>
          <w:bdr w:val="none" w:sz="0" w:space="0" w:color="auto" w:frame="1"/>
          <w:shd w:val="clear" w:color="auto" w:fill="FFFFFF"/>
        </w:rPr>
      </w:pPr>
      <w:r w:rsidRPr="003F1F63">
        <w:rPr>
          <w:bdr w:val="none" w:sz="0" w:space="0" w:color="auto" w:frame="1"/>
          <w:shd w:val="clear" w:color="auto" w:fill="FFFFFF"/>
        </w:rPr>
        <w:t xml:space="preserve">HUD failed to provide, and has yet to provide, the nature, scope, and rationale for a new means of handling telephone calls when employees do not have permanently assigned workspaces with corresponding desk phones. In its August 1 M-1 counterproposal, HUD mentioned </w:t>
      </w:r>
      <w:r w:rsidR="00B068A4" w:rsidRPr="003F1F63">
        <w:rPr>
          <w:bdr w:val="none" w:sz="0" w:space="0" w:color="auto" w:frame="1"/>
          <w:shd w:val="clear" w:color="auto" w:fill="FFFFFF"/>
        </w:rPr>
        <w:t>utilizing</w:t>
      </w:r>
      <w:r w:rsidR="00B135CE" w:rsidRPr="003F1F63">
        <w:rPr>
          <w:bdr w:val="none" w:sz="0" w:space="0" w:color="auto" w:frame="1"/>
          <w:shd w:val="clear" w:color="auto" w:fill="FFFFFF"/>
        </w:rPr>
        <w:t xml:space="preserve"> a soft phone application, but as yet </w:t>
      </w:r>
      <w:r w:rsidR="00B068A4" w:rsidRPr="003F1F63">
        <w:rPr>
          <w:bdr w:val="none" w:sz="0" w:space="0" w:color="auto" w:frame="1"/>
          <w:shd w:val="clear" w:color="auto" w:fill="FFFFFF"/>
        </w:rPr>
        <w:t>provided</w:t>
      </w:r>
      <w:r w:rsidR="00B135CE" w:rsidRPr="003F1F63">
        <w:rPr>
          <w:bdr w:val="none" w:sz="0" w:space="0" w:color="auto" w:frame="1"/>
          <w:shd w:val="clear" w:color="auto" w:fill="FFFFFF"/>
        </w:rPr>
        <w:t xml:space="preserve"> no details about how it would work. </w:t>
      </w:r>
    </w:p>
    <w:p w14:paraId="23B52175" w14:textId="032B4D84" w:rsidR="00DA1BE5" w:rsidRPr="003F1F63" w:rsidRDefault="00DA1BE5" w:rsidP="00CB5133">
      <w:pPr>
        <w:spacing w:after="240"/>
        <w:rPr>
          <w:bdr w:val="none" w:sz="0" w:space="0" w:color="auto" w:frame="1"/>
          <w:shd w:val="clear" w:color="auto" w:fill="FFFFFF"/>
        </w:rPr>
      </w:pPr>
      <w:r w:rsidRPr="003F1F63">
        <w:rPr>
          <w:bdr w:val="none" w:sz="0" w:space="0" w:color="auto" w:frame="1"/>
          <w:shd w:val="clear" w:color="auto" w:fill="FFFFFF"/>
        </w:rPr>
        <w:t xml:space="preserve">2. HUD violated Article 49, Section 49.04(1), by refusing to grant the Union fifteen days to submit preliminary proposals related to the July 24 version of the </w:t>
      </w:r>
      <w:r w:rsidR="000935F7" w:rsidRPr="003F1F63">
        <w:rPr>
          <w:bdr w:val="none" w:sz="0" w:space="0" w:color="auto" w:frame="1"/>
          <w:shd w:val="clear" w:color="auto" w:fill="FFFFFF"/>
        </w:rPr>
        <w:t xml:space="preserve">proposed Chapter 13. Section 49.06(i), on which the Agency relied in denying the Union’s request for fifteen days to respond, states: </w:t>
      </w:r>
    </w:p>
    <w:p w14:paraId="5694838C" w14:textId="12FB4A4A" w:rsidR="00DA1BE5" w:rsidRPr="003F1F63" w:rsidRDefault="000935F7" w:rsidP="000935F7">
      <w:pPr>
        <w:spacing w:after="240"/>
        <w:ind w:left="720"/>
        <w:rPr>
          <w:bdr w:val="none" w:sz="0" w:space="0" w:color="auto" w:frame="1"/>
          <w:shd w:val="clear" w:color="auto" w:fill="FFFFFF"/>
        </w:rPr>
      </w:pPr>
      <w:r w:rsidRPr="003F1F63">
        <w:rPr>
          <w:bdr w:val="none" w:sz="0" w:space="0" w:color="auto" w:frame="1"/>
          <w:shd w:val="clear" w:color="auto" w:fill="FFFFFF"/>
        </w:rPr>
        <w:t xml:space="preserve">(i) Either party may submit new proposals on the first day of negotiations. Parties may submit new proposals based on new or modified information provided by the other party. Once negotiations begin, a party shall not submit new proposals but may modify its initial proposals and/or submit </w:t>
      </w:r>
      <w:proofErr w:type="gramStart"/>
      <w:r w:rsidRPr="003F1F63">
        <w:rPr>
          <w:bdr w:val="none" w:sz="0" w:space="0" w:color="auto" w:frame="1"/>
          <w:shd w:val="clear" w:color="auto" w:fill="FFFFFF"/>
        </w:rPr>
        <w:t>counter-proposals</w:t>
      </w:r>
      <w:proofErr w:type="gramEnd"/>
      <w:r w:rsidRPr="003F1F63">
        <w:rPr>
          <w:bdr w:val="none" w:sz="0" w:space="0" w:color="auto" w:frame="1"/>
          <w:shd w:val="clear" w:color="auto" w:fill="FFFFFF"/>
        </w:rPr>
        <w:t xml:space="preserve"> until agreement has been reached.</w:t>
      </w:r>
    </w:p>
    <w:p w14:paraId="5C0CD7BA" w14:textId="7D3BDBEA" w:rsidR="00DA1BE5" w:rsidRPr="003F1F63" w:rsidRDefault="000935F7" w:rsidP="00CB5133">
      <w:pPr>
        <w:spacing w:after="240"/>
        <w:rPr>
          <w:bdr w:val="none" w:sz="0" w:space="0" w:color="auto" w:frame="1"/>
          <w:shd w:val="clear" w:color="auto" w:fill="FFFFFF"/>
        </w:rPr>
      </w:pPr>
      <w:r w:rsidRPr="003F1F63">
        <w:rPr>
          <w:bdr w:val="none" w:sz="0" w:space="0" w:color="auto" w:frame="1"/>
          <w:shd w:val="clear" w:color="auto" w:fill="FFFFFF"/>
        </w:rPr>
        <w:t>While this section limits the submission of new proposals to the new or modified information provided by the other party, it does not address the time granted for the submission of those new proposals. Thus, while the Agency was correct in stating that the Union was limited to submitting new proposals</w:t>
      </w:r>
      <w:r w:rsidR="00806FD0" w:rsidRPr="003F1F63">
        <w:rPr>
          <w:bdr w:val="none" w:sz="0" w:space="0" w:color="auto" w:frame="1"/>
          <w:shd w:val="clear" w:color="auto" w:fill="FFFFFF"/>
        </w:rPr>
        <w:t xml:space="preserve"> that related to the new information</w:t>
      </w:r>
      <w:r w:rsidR="00D869DC" w:rsidRPr="003F1F63">
        <w:rPr>
          <w:bdr w:val="none" w:sz="0" w:space="0" w:color="auto" w:frame="1"/>
          <w:shd w:val="clear" w:color="auto" w:fill="FFFFFF"/>
        </w:rPr>
        <w:t>, it was incorrect in forc</w:t>
      </w:r>
      <w:r w:rsidR="00806FD0" w:rsidRPr="003F1F63">
        <w:rPr>
          <w:bdr w:val="none" w:sz="0" w:space="0" w:color="auto" w:frame="1"/>
          <w:shd w:val="clear" w:color="auto" w:fill="FFFFFF"/>
        </w:rPr>
        <w:t>ing</w:t>
      </w:r>
      <w:r w:rsidR="00D869DC" w:rsidRPr="003F1F63">
        <w:rPr>
          <w:bdr w:val="none" w:sz="0" w:space="0" w:color="auto" w:frame="1"/>
          <w:shd w:val="clear" w:color="auto" w:fill="FFFFFF"/>
        </w:rPr>
        <w:t xml:space="preserve"> the Union to prepare the new proposals in less than one week. Section 49.04(1) governs the time permitted for the Union to respond to Management’s proposed changes: “Upon receipt of Management's notice of proposed change(s), the Union may submit a demand to bargain over the change(s) within fifteen (15) days by submitting preliminary proposals. All proposals shall be related to the impact of the proposed change(s).”</w:t>
      </w:r>
      <w:r w:rsidR="008203C5" w:rsidRPr="003F1F63">
        <w:rPr>
          <w:bdr w:val="none" w:sz="0" w:space="0" w:color="auto" w:frame="1"/>
          <w:shd w:val="clear" w:color="auto" w:fill="FFFFFF"/>
        </w:rPr>
        <w:t xml:space="preserve"> Thus, on July 24, Management notified the Union of proposed changes and the Union properly demanded 15 days to submit its preliminary proposals related to the latest changes.</w:t>
      </w:r>
    </w:p>
    <w:p w14:paraId="2061B7CD" w14:textId="4D62CC04" w:rsidR="000935F7" w:rsidRPr="003F1F63" w:rsidRDefault="00095BBA" w:rsidP="00CB5133">
      <w:pPr>
        <w:spacing w:after="240"/>
        <w:rPr>
          <w:bdr w:val="none" w:sz="0" w:space="0" w:color="auto" w:frame="1"/>
          <w:shd w:val="clear" w:color="auto" w:fill="FFFFFF"/>
        </w:rPr>
      </w:pPr>
      <w:r w:rsidRPr="003F1F63">
        <w:rPr>
          <w:bdr w:val="none" w:sz="0" w:space="0" w:color="auto" w:frame="1"/>
          <w:shd w:val="clear" w:color="auto" w:fill="FFFFFF"/>
        </w:rPr>
        <w:t xml:space="preserve">3. HUD violated Article 57, </w:t>
      </w:r>
      <w:bookmarkStart w:id="0" w:name="_Hlk144825921"/>
      <w:r w:rsidRPr="003F1F63">
        <w:rPr>
          <w:bdr w:val="none" w:sz="0" w:space="0" w:color="auto" w:frame="1"/>
          <w:shd w:val="clear" w:color="auto" w:fill="FFFFFF"/>
        </w:rPr>
        <w:t xml:space="preserve">Section 57.04(3)(b) </w:t>
      </w:r>
      <w:bookmarkEnd w:id="0"/>
      <w:r w:rsidRPr="003F1F63">
        <w:rPr>
          <w:bdr w:val="none" w:sz="0" w:space="0" w:color="auto" w:frame="1"/>
          <w:shd w:val="clear" w:color="auto" w:fill="FFFFFF"/>
        </w:rPr>
        <w:t xml:space="preserve">as amended by Supplement 35, by proposing—and continuing to insist </w:t>
      </w:r>
      <w:proofErr w:type="gramStart"/>
      <w:r w:rsidRPr="003F1F63">
        <w:rPr>
          <w:bdr w:val="none" w:sz="0" w:space="0" w:color="auto" w:frame="1"/>
          <w:shd w:val="clear" w:color="auto" w:fill="FFFFFF"/>
        </w:rPr>
        <w:t>throughout</w:t>
      </w:r>
      <w:proofErr w:type="gramEnd"/>
      <w:r w:rsidRPr="003F1F63">
        <w:rPr>
          <w:bdr w:val="none" w:sz="0" w:space="0" w:color="auto" w:frame="1"/>
          <w:shd w:val="clear" w:color="auto" w:fill="FFFFFF"/>
        </w:rPr>
        <w:t xml:space="preserve"> bargaining—that the Agency can provide less than 52.5 square feet for each employee workstation. That section, as amended, reads: </w:t>
      </w:r>
    </w:p>
    <w:p w14:paraId="5685930B" w14:textId="7B557B13" w:rsidR="00095BBA" w:rsidRPr="003F1F63" w:rsidRDefault="00095BBA" w:rsidP="00095BBA">
      <w:pPr>
        <w:spacing w:after="240"/>
        <w:ind w:left="720"/>
        <w:rPr>
          <w:bdr w:val="none" w:sz="0" w:space="0" w:color="auto" w:frame="1"/>
          <w:shd w:val="clear" w:color="auto" w:fill="FFFFFF"/>
        </w:rPr>
      </w:pPr>
      <w:r w:rsidRPr="003F1F63">
        <w:rPr>
          <w:bdr w:val="none" w:sz="0" w:space="0" w:color="auto" w:frame="1"/>
          <w:shd w:val="clear" w:color="auto" w:fill="FFFFFF"/>
        </w:rPr>
        <w:t xml:space="preserve">(b) The utilization rate for office space including conference rooms, break rooms, etc., shall be 175 square feet or the maximum allowed by GSA. Management shall determine specific offices’ space requirements based on the planned maximum occupancy pattern of that location. Management shall provide sufficient workstations/cubicles (or private offices if applicable) to accommodate the planned maximum occupancy pattern. The </w:t>
      </w:r>
      <w:r w:rsidRPr="003F1F63">
        <w:rPr>
          <w:bdr w:val="none" w:sz="0" w:space="0" w:color="auto" w:frame="1"/>
          <w:shd w:val="clear" w:color="auto" w:fill="FFFFFF"/>
        </w:rPr>
        <w:lastRenderedPageBreak/>
        <w:t>amount of workspace for employees shall be approximately 30-35% of the utilization rate. If a bargaining unit employee requires privacy as an essential part of their position, private office space will be provided.</w:t>
      </w:r>
    </w:p>
    <w:p w14:paraId="327E0FF4" w14:textId="14B14EC5" w:rsidR="00AD7CD4" w:rsidRPr="003F1F63" w:rsidRDefault="00095BBA" w:rsidP="00CB5133">
      <w:pPr>
        <w:spacing w:after="240"/>
        <w:rPr>
          <w:bdr w:val="none" w:sz="0" w:space="0" w:color="auto" w:frame="1"/>
          <w:shd w:val="clear" w:color="auto" w:fill="FFFFFF"/>
        </w:rPr>
      </w:pPr>
      <w:r w:rsidRPr="003F1F63">
        <w:rPr>
          <w:bdr w:val="none" w:sz="0" w:space="0" w:color="auto" w:frame="1"/>
          <w:shd w:val="clear" w:color="auto" w:fill="FFFFFF"/>
        </w:rPr>
        <w:t xml:space="preserve">Thirty per cent—the minimum that can be allocated to employees—of 175 square feet </w:t>
      </w:r>
      <w:r w:rsidR="00AD7CD4" w:rsidRPr="003F1F63">
        <w:rPr>
          <w:bdr w:val="none" w:sz="0" w:space="0" w:color="auto" w:frame="1"/>
          <w:shd w:val="clear" w:color="auto" w:fill="FFFFFF"/>
        </w:rPr>
        <w:t xml:space="preserve">per employee </w:t>
      </w:r>
      <w:r w:rsidRPr="003F1F63">
        <w:rPr>
          <w:bdr w:val="none" w:sz="0" w:space="0" w:color="auto" w:frame="1"/>
          <w:shd w:val="clear" w:color="auto" w:fill="FFFFFF"/>
        </w:rPr>
        <w:t>is 52.5 square feet. The Agency has relied on its unsupported claim that “workspace,” unlike “workstation” was intended to include “circulation space” or the aisles and walkways around workstations</w:t>
      </w:r>
      <w:r w:rsidR="00B03D80" w:rsidRPr="003F1F63">
        <w:rPr>
          <w:bdr w:val="none" w:sz="0" w:space="0" w:color="auto" w:frame="1"/>
          <w:shd w:val="clear" w:color="auto" w:fill="FFFFFF"/>
        </w:rPr>
        <w:t xml:space="preserve">, and not just the workstations themselves. </w:t>
      </w:r>
      <w:r w:rsidR="001E602B" w:rsidRPr="003F1F63">
        <w:rPr>
          <w:bdr w:val="none" w:sz="0" w:space="0" w:color="auto" w:frame="1"/>
          <w:shd w:val="clear" w:color="auto" w:fill="FFFFFF"/>
        </w:rPr>
        <w:t xml:space="preserve">This fallacy is demonstrated by the definition of “workspace” as “individual work areas . . . typically private offices or workstations” in the 2016 version of Chapter 13. Although Management may remove the initial proposed references to square footage from Chapter 13, Management has continually refused to acknowledge that </w:t>
      </w:r>
      <w:r w:rsidR="00F95D7B" w:rsidRPr="003F1F63">
        <w:rPr>
          <w:bdr w:val="none" w:sz="0" w:space="0" w:color="auto" w:frame="1"/>
          <w:shd w:val="clear" w:color="auto" w:fill="FFFFFF"/>
        </w:rPr>
        <w:t xml:space="preserve">the amount of space allocated to each bargaining unit </w:t>
      </w:r>
      <w:r w:rsidR="001E602B" w:rsidRPr="003F1F63">
        <w:rPr>
          <w:bdr w:val="none" w:sz="0" w:space="0" w:color="auto" w:frame="1"/>
          <w:shd w:val="clear" w:color="auto" w:fill="FFFFFF"/>
        </w:rPr>
        <w:t>employee</w:t>
      </w:r>
      <w:r w:rsidR="00F95D7B" w:rsidRPr="003F1F63">
        <w:rPr>
          <w:bdr w:val="none" w:sz="0" w:space="0" w:color="auto" w:frame="1"/>
          <w:shd w:val="clear" w:color="auto" w:fill="FFFFFF"/>
        </w:rPr>
        <w:t>’</w:t>
      </w:r>
      <w:r w:rsidR="001E602B" w:rsidRPr="003F1F63">
        <w:rPr>
          <w:bdr w:val="none" w:sz="0" w:space="0" w:color="auto" w:frame="1"/>
          <w:shd w:val="clear" w:color="auto" w:fill="FFFFFF"/>
        </w:rPr>
        <w:t>s</w:t>
      </w:r>
      <w:r w:rsidR="00F95D7B" w:rsidRPr="003F1F63">
        <w:rPr>
          <w:bdr w:val="none" w:sz="0" w:space="0" w:color="auto" w:frame="1"/>
          <w:shd w:val="clear" w:color="auto" w:fill="FFFFFF"/>
        </w:rPr>
        <w:t xml:space="preserve"> workspace must be at least 52.5 square feet for workstations/cubicles (more for private offices). </w:t>
      </w:r>
      <w:r w:rsidR="00EC222A" w:rsidRPr="003F1F63">
        <w:rPr>
          <w:bdr w:val="none" w:sz="0" w:space="0" w:color="auto" w:frame="1"/>
          <w:shd w:val="clear" w:color="auto" w:fill="FFFFFF"/>
        </w:rPr>
        <w:t>The Agency’s argument that</w:t>
      </w:r>
      <w:r w:rsidR="00AD7CD4" w:rsidRPr="003F1F63">
        <w:rPr>
          <w:bdr w:val="none" w:sz="0" w:space="0" w:color="auto" w:frame="1"/>
          <w:shd w:val="clear" w:color="auto" w:fill="FFFFFF"/>
        </w:rPr>
        <w:t xml:space="preserve"> circulation space </w:t>
      </w:r>
      <w:proofErr w:type="gramStart"/>
      <w:r w:rsidR="00AD7CD4" w:rsidRPr="003F1F63">
        <w:rPr>
          <w:bdr w:val="none" w:sz="0" w:space="0" w:color="auto" w:frame="1"/>
          <w:shd w:val="clear" w:color="auto" w:fill="FFFFFF"/>
        </w:rPr>
        <w:t>is included</w:t>
      </w:r>
      <w:proofErr w:type="gramEnd"/>
      <w:r w:rsidR="00AD7CD4" w:rsidRPr="003F1F63">
        <w:rPr>
          <w:bdr w:val="none" w:sz="0" w:space="0" w:color="auto" w:frame="1"/>
          <w:shd w:val="clear" w:color="auto" w:fill="FFFFFF"/>
        </w:rPr>
        <w:t xml:space="preserve"> in</w:t>
      </w:r>
      <w:r w:rsidR="00EC222A" w:rsidRPr="003F1F63">
        <w:rPr>
          <w:bdr w:val="none" w:sz="0" w:space="0" w:color="auto" w:frame="1"/>
          <w:shd w:val="clear" w:color="auto" w:fill="FFFFFF"/>
        </w:rPr>
        <w:t xml:space="preserve"> </w:t>
      </w:r>
      <w:r w:rsidR="00AD7CD4" w:rsidRPr="003F1F63">
        <w:rPr>
          <w:bdr w:val="none" w:sz="0" w:space="0" w:color="auto" w:frame="1"/>
          <w:shd w:val="clear" w:color="auto" w:fill="FFFFFF"/>
        </w:rPr>
        <w:t>the allocation of 30–35% of the utilization rate for employee</w:t>
      </w:r>
      <w:r w:rsidR="00EC222A" w:rsidRPr="003F1F63">
        <w:rPr>
          <w:bdr w:val="none" w:sz="0" w:space="0" w:color="auto" w:frame="1"/>
          <w:shd w:val="clear" w:color="auto" w:fill="FFFFFF"/>
        </w:rPr>
        <w:t xml:space="preserve"> workspace would render this formula meaningless</w:t>
      </w:r>
      <w:r w:rsidR="00AD7CD4" w:rsidRPr="003F1F63">
        <w:rPr>
          <w:bdr w:val="none" w:sz="0" w:space="0" w:color="auto" w:frame="1"/>
          <w:shd w:val="clear" w:color="auto" w:fill="FFFFFF"/>
        </w:rPr>
        <w:t>; the Agency could create aisles and walkways of any width, thereby reducing employee workspace far below 52.5 square feet—as they have attempted to do in the current negotiations. It is also</w:t>
      </w:r>
      <w:r w:rsidR="00EC222A" w:rsidRPr="003F1F63">
        <w:rPr>
          <w:bdr w:val="none" w:sz="0" w:space="0" w:color="auto" w:frame="1"/>
          <w:shd w:val="clear" w:color="auto" w:fill="FFFFFF"/>
        </w:rPr>
        <w:t xml:space="preserve"> arbitrary and subjective </w:t>
      </w:r>
      <w:r w:rsidR="00AD7CD4" w:rsidRPr="003F1F63">
        <w:rPr>
          <w:bdr w:val="none" w:sz="0" w:space="0" w:color="auto" w:frame="1"/>
          <w:shd w:val="clear" w:color="auto" w:fill="FFFFFF"/>
        </w:rPr>
        <w:t>for</w:t>
      </w:r>
      <w:r w:rsidR="00EC222A" w:rsidRPr="003F1F63">
        <w:rPr>
          <w:bdr w:val="none" w:sz="0" w:space="0" w:color="auto" w:frame="1"/>
          <w:shd w:val="clear" w:color="auto" w:fill="FFFFFF"/>
        </w:rPr>
        <w:t xml:space="preserve"> management </w:t>
      </w:r>
      <w:r w:rsidR="00AD7CD4" w:rsidRPr="003F1F63">
        <w:rPr>
          <w:bdr w:val="none" w:sz="0" w:space="0" w:color="auto" w:frame="1"/>
          <w:shd w:val="clear" w:color="auto" w:fill="FFFFFF"/>
        </w:rPr>
        <w:t xml:space="preserve">to have </w:t>
      </w:r>
      <w:r w:rsidR="00EC222A" w:rsidRPr="003F1F63">
        <w:rPr>
          <w:bdr w:val="none" w:sz="0" w:space="0" w:color="auto" w:frame="1"/>
          <w:shd w:val="clear" w:color="auto" w:fill="FFFFFF"/>
        </w:rPr>
        <w:t>calculate</w:t>
      </w:r>
      <w:r w:rsidR="00AD7CD4" w:rsidRPr="003F1F63">
        <w:rPr>
          <w:bdr w:val="none" w:sz="0" w:space="0" w:color="auto" w:frame="1"/>
          <w:shd w:val="clear" w:color="auto" w:fill="FFFFFF"/>
        </w:rPr>
        <w:t>d</w:t>
      </w:r>
      <w:r w:rsidR="00EC222A" w:rsidRPr="003F1F63">
        <w:rPr>
          <w:bdr w:val="none" w:sz="0" w:space="0" w:color="auto" w:frame="1"/>
          <w:shd w:val="clear" w:color="auto" w:fill="FFFFFF"/>
        </w:rPr>
        <w:t xml:space="preserve"> employee workstation</w:t>
      </w:r>
      <w:r w:rsidR="00AD7CD4" w:rsidRPr="003F1F63">
        <w:rPr>
          <w:bdr w:val="none" w:sz="0" w:space="0" w:color="auto" w:frame="1"/>
          <w:shd w:val="clear" w:color="auto" w:fill="FFFFFF"/>
        </w:rPr>
        <w:t xml:space="preserve"> size</w:t>
      </w:r>
      <w:r w:rsidR="00EC222A" w:rsidRPr="003F1F63">
        <w:rPr>
          <w:bdr w:val="none" w:sz="0" w:space="0" w:color="auto" w:frame="1"/>
          <w:shd w:val="clear" w:color="auto" w:fill="FFFFFF"/>
        </w:rPr>
        <w:t xml:space="preserve">s to be </w:t>
      </w:r>
      <w:r w:rsidR="0023019C" w:rsidRPr="003F1F63">
        <w:rPr>
          <w:bdr w:val="none" w:sz="0" w:space="0" w:color="auto" w:frame="1"/>
          <w:shd w:val="clear" w:color="auto" w:fill="FFFFFF"/>
        </w:rPr>
        <w:t xml:space="preserve">somehow </w:t>
      </w:r>
      <w:r w:rsidR="00EC222A" w:rsidRPr="003F1F63">
        <w:rPr>
          <w:bdr w:val="none" w:sz="0" w:space="0" w:color="auto" w:frame="1"/>
          <w:shd w:val="clear" w:color="auto" w:fill="FFFFFF"/>
        </w:rPr>
        <w:t xml:space="preserve">less than </w:t>
      </w:r>
      <w:r w:rsidR="003F1F63" w:rsidRPr="003F1F63">
        <w:rPr>
          <w:bdr w:val="none" w:sz="0" w:space="0" w:color="auto" w:frame="1"/>
          <w:shd w:val="clear" w:color="auto" w:fill="FFFFFF"/>
        </w:rPr>
        <w:t xml:space="preserve">between </w:t>
      </w:r>
      <w:r w:rsidR="00EC222A" w:rsidRPr="003F1F63">
        <w:rPr>
          <w:bdr w:val="none" w:sz="0" w:space="0" w:color="auto" w:frame="1"/>
          <w:shd w:val="clear" w:color="auto" w:fill="FFFFFF"/>
        </w:rPr>
        <w:t xml:space="preserve">52.5 </w:t>
      </w:r>
      <w:r w:rsidR="003F1F63" w:rsidRPr="003F1F63">
        <w:rPr>
          <w:bdr w:val="none" w:sz="0" w:space="0" w:color="auto" w:frame="1"/>
          <w:shd w:val="clear" w:color="auto" w:fill="FFFFFF"/>
        </w:rPr>
        <w:t>and</w:t>
      </w:r>
      <w:r w:rsidR="00EC222A" w:rsidRPr="003F1F63">
        <w:rPr>
          <w:bdr w:val="none" w:sz="0" w:space="0" w:color="auto" w:frame="1"/>
          <w:shd w:val="clear" w:color="auto" w:fill="FFFFFF"/>
        </w:rPr>
        <w:t xml:space="preserve"> 61.25 square feet (30-35% of the utilization rate)</w:t>
      </w:r>
      <w:r w:rsidR="00AD7CD4" w:rsidRPr="003F1F63">
        <w:rPr>
          <w:bdr w:val="none" w:sz="0" w:space="0" w:color="auto" w:frame="1"/>
          <w:shd w:val="clear" w:color="auto" w:fill="FFFFFF"/>
        </w:rPr>
        <w:t>, especially as nobody expects employees to work in aisles or walkways</w:t>
      </w:r>
      <w:r w:rsidR="00EC222A" w:rsidRPr="003F1F63">
        <w:rPr>
          <w:bdr w:val="none" w:sz="0" w:space="0" w:color="auto" w:frame="1"/>
          <w:shd w:val="clear" w:color="auto" w:fill="FFFFFF"/>
        </w:rPr>
        <w:t xml:space="preserve">. </w:t>
      </w:r>
    </w:p>
    <w:p w14:paraId="4B6880A4" w14:textId="77777777" w:rsidR="003634B8" w:rsidRPr="003F1F63" w:rsidRDefault="00162026" w:rsidP="00CB5133">
      <w:pPr>
        <w:spacing w:after="240"/>
        <w:rPr>
          <w:bdr w:val="none" w:sz="0" w:space="0" w:color="auto" w:frame="1"/>
          <w:shd w:val="clear" w:color="auto" w:fill="FFFFFF"/>
        </w:rPr>
      </w:pPr>
      <w:r w:rsidRPr="003F1F63">
        <w:rPr>
          <w:bdr w:val="none" w:sz="0" w:space="0" w:color="auto" w:frame="1"/>
          <w:shd w:val="clear" w:color="auto" w:fill="FFFFFF"/>
        </w:rPr>
        <w:t xml:space="preserve">The Agency implemented the current version of its space management handbook, Handbook 2200.1, Chapter 13, in March 2016, only eight months after the current CBA </w:t>
      </w:r>
      <w:proofErr w:type="gramStart"/>
      <w:r w:rsidRPr="003F1F63">
        <w:rPr>
          <w:bdr w:val="none" w:sz="0" w:space="0" w:color="auto" w:frame="1"/>
          <w:shd w:val="clear" w:color="auto" w:fill="FFFFFF"/>
        </w:rPr>
        <w:t>was signed</w:t>
      </w:r>
      <w:proofErr w:type="gramEnd"/>
      <w:r w:rsidRPr="003F1F63">
        <w:rPr>
          <w:bdr w:val="none" w:sz="0" w:space="0" w:color="auto" w:frame="1"/>
          <w:shd w:val="clear" w:color="auto" w:fill="FFFFFF"/>
        </w:rPr>
        <w:t xml:space="preserve">. It contains three definitions </w:t>
      </w:r>
      <w:r w:rsidR="003634B8" w:rsidRPr="003F1F63">
        <w:rPr>
          <w:bdr w:val="none" w:sz="0" w:space="0" w:color="auto" w:frame="1"/>
          <w:shd w:val="clear" w:color="auto" w:fill="FFFFFF"/>
        </w:rPr>
        <w:t xml:space="preserve">that are relevant to this discussion: </w:t>
      </w:r>
    </w:p>
    <w:p w14:paraId="07CDA524" w14:textId="79A5154F" w:rsidR="003634B8" w:rsidRPr="003F1F63" w:rsidRDefault="003634B8" w:rsidP="003634B8">
      <w:pPr>
        <w:spacing w:after="240"/>
        <w:ind w:left="720"/>
        <w:rPr>
          <w:bdr w:val="none" w:sz="0" w:space="0" w:color="auto" w:frame="1"/>
          <w:shd w:val="clear" w:color="auto" w:fill="FFFFFF"/>
        </w:rPr>
      </w:pPr>
      <w:r w:rsidRPr="003F1F63">
        <w:rPr>
          <w:bdr w:val="none" w:sz="0" w:space="0" w:color="auto" w:frame="1"/>
          <w:shd w:val="clear" w:color="auto" w:fill="FFFFFF"/>
        </w:rPr>
        <w:t>Usable Square Feet (USF): The square footage used exclusively by the tenant, including the main workstation and collaboration areas, special space, and circulation within the tenant space. It does not include building common areas.</w:t>
      </w:r>
      <w:r w:rsidR="00046808" w:rsidRPr="003F1F63">
        <w:rPr>
          <w:bdr w:val="none" w:sz="0" w:space="0" w:color="auto" w:frame="1"/>
          <w:shd w:val="clear" w:color="auto" w:fill="FFFFFF"/>
        </w:rPr>
        <w:t xml:space="preserve"> [Special space is </w:t>
      </w:r>
      <w:proofErr w:type="gramStart"/>
      <w:r w:rsidR="00046808" w:rsidRPr="003F1F63">
        <w:rPr>
          <w:bdr w:val="none" w:sz="0" w:space="0" w:color="auto" w:frame="1"/>
          <w:shd w:val="clear" w:color="auto" w:fill="FFFFFF"/>
        </w:rPr>
        <w:t>support</w:t>
      </w:r>
      <w:proofErr w:type="gramEnd"/>
      <w:r w:rsidR="00046808" w:rsidRPr="003F1F63">
        <w:rPr>
          <w:bdr w:val="none" w:sz="0" w:space="0" w:color="auto" w:frame="1"/>
          <w:shd w:val="clear" w:color="auto" w:fill="FFFFFF"/>
        </w:rPr>
        <w:t xml:space="preserve"> space such as meeting rooms, break rooms, and storage space.]</w:t>
      </w:r>
    </w:p>
    <w:p w14:paraId="77450D86" w14:textId="77777777" w:rsidR="003634B8" w:rsidRPr="003F1F63" w:rsidRDefault="003634B8" w:rsidP="003634B8">
      <w:pPr>
        <w:spacing w:after="240"/>
        <w:ind w:left="720"/>
        <w:rPr>
          <w:bdr w:val="none" w:sz="0" w:space="0" w:color="auto" w:frame="1"/>
          <w:shd w:val="clear" w:color="auto" w:fill="FFFFFF"/>
        </w:rPr>
      </w:pPr>
      <w:r w:rsidRPr="003F1F63">
        <w:rPr>
          <w:bdr w:val="none" w:sz="0" w:space="0" w:color="auto" w:frame="1"/>
          <w:shd w:val="clear" w:color="auto" w:fill="FFFFFF"/>
        </w:rPr>
        <w:t>Utilization Rate (UR): The amount of USF, defined above, divided by total number of employees (includes FTEs and contractors).</w:t>
      </w:r>
    </w:p>
    <w:p w14:paraId="50D6D5FD" w14:textId="39F3F62A" w:rsidR="003634B8" w:rsidRPr="003F1F63" w:rsidRDefault="003634B8" w:rsidP="003634B8">
      <w:pPr>
        <w:spacing w:after="240"/>
        <w:ind w:left="720"/>
        <w:rPr>
          <w:bdr w:val="none" w:sz="0" w:space="0" w:color="auto" w:frame="1"/>
          <w:shd w:val="clear" w:color="auto" w:fill="FFFFFF"/>
        </w:rPr>
      </w:pPr>
      <w:r w:rsidRPr="003F1F63">
        <w:rPr>
          <w:bdr w:val="none" w:sz="0" w:space="0" w:color="auto" w:frame="1"/>
          <w:shd w:val="clear" w:color="auto" w:fill="FFFFFF"/>
        </w:rPr>
        <w:t>Workspace: Individual work areas (including desk sharing, hot-desking, or hoteling), typically private offices or workstations as further defined below. [The “further definitions below” are tables and lists specifying the sizes of private offices based on job titles.]</w:t>
      </w:r>
    </w:p>
    <w:p w14:paraId="08463FB7" w14:textId="4CA2825B" w:rsidR="003634B8" w:rsidRPr="003F1F63" w:rsidRDefault="003634B8" w:rsidP="003634B8">
      <w:pPr>
        <w:spacing w:after="240"/>
        <w:rPr>
          <w:bdr w:val="none" w:sz="0" w:space="0" w:color="auto" w:frame="1"/>
          <w:shd w:val="clear" w:color="auto" w:fill="FFFFFF"/>
        </w:rPr>
      </w:pPr>
      <w:r w:rsidRPr="003F1F63">
        <w:rPr>
          <w:bdr w:val="none" w:sz="0" w:space="0" w:color="auto" w:frame="1"/>
          <w:shd w:val="clear" w:color="auto" w:fill="FFFFFF"/>
        </w:rPr>
        <w:t>These definitions</w:t>
      </w:r>
      <w:r w:rsidR="00E9177E" w:rsidRPr="003F1F63">
        <w:rPr>
          <w:bdr w:val="none" w:sz="0" w:space="0" w:color="auto" w:frame="1"/>
          <w:shd w:val="clear" w:color="auto" w:fill="FFFFFF"/>
        </w:rPr>
        <w:t>, taken together with the Section 57.04(3)(b) standard,</w:t>
      </w:r>
      <w:r w:rsidRPr="003F1F63">
        <w:rPr>
          <w:bdr w:val="none" w:sz="0" w:space="0" w:color="auto" w:frame="1"/>
          <w:shd w:val="clear" w:color="auto" w:fill="FFFFFF"/>
        </w:rPr>
        <w:t xml:space="preserve"> provide </w:t>
      </w:r>
      <w:r w:rsidR="00E92813" w:rsidRPr="003F1F63">
        <w:rPr>
          <w:bdr w:val="none" w:sz="0" w:space="0" w:color="auto" w:frame="1"/>
          <w:shd w:val="clear" w:color="auto" w:fill="FFFFFF"/>
        </w:rPr>
        <w:t>the following critical</w:t>
      </w:r>
      <w:r w:rsidRPr="003F1F63">
        <w:rPr>
          <w:bdr w:val="none" w:sz="0" w:space="0" w:color="auto" w:frame="1"/>
          <w:shd w:val="clear" w:color="auto" w:fill="FFFFFF"/>
        </w:rPr>
        <w:t xml:space="preserve"> points of information: </w:t>
      </w:r>
    </w:p>
    <w:p w14:paraId="6FE66950" w14:textId="4355B6E2" w:rsidR="003634B8" w:rsidRPr="003F1F63" w:rsidRDefault="003634B8" w:rsidP="000778F3">
      <w:pPr>
        <w:spacing w:after="240"/>
        <w:ind w:left="720"/>
        <w:rPr>
          <w:bdr w:val="none" w:sz="0" w:space="0" w:color="auto" w:frame="1"/>
          <w:shd w:val="clear" w:color="auto" w:fill="FFFFFF"/>
        </w:rPr>
      </w:pPr>
      <w:r w:rsidRPr="003F1F63">
        <w:rPr>
          <w:bdr w:val="none" w:sz="0" w:space="0" w:color="auto" w:frame="1"/>
          <w:shd w:val="clear" w:color="auto" w:fill="FFFFFF"/>
        </w:rPr>
        <w:t xml:space="preserve">(1) The usable square feet </w:t>
      </w:r>
      <w:proofErr w:type="gramStart"/>
      <w:r w:rsidRPr="003F1F63">
        <w:rPr>
          <w:bdr w:val="none" w:sz="0" w:space="0" w:color="auto" w:frame="1"/>
          <w:shd w:val="clear" w:color="auto" w:fill="FFFFFF"/>
        </w:rPr>
        <w:t>is</w:t>
      </w:r>
      <w:proofErr w:type="gramEnd"/>
      <w:r w:rsidRPr="003F1F63">
        <w:rPr>
          <w:bdr w:val="none" w:sz="0" w:space="0" w:color="auto" w:frame="1"/>
          <w:shd w:val="clear" w:color="auto" w:fill="FFFFFF"/>
        </w:rPr>
        <w:t xml:space="preserve"> a total figure that includes circulation space. </w:t>
      </w:r>
    </w:p>
    <w:p w14:paraId="5734704B" w14:textId="2EAF4FF4" w:rsidR="003634B8" w:rsidRPr="003F1F63" w:rsidRDefault="003634B8" w:rsidP="000778F3">
      <w:pPr>
        <w:spacing w:after="240"/>
        <w:ind w:left="720"/>
        <w:rPr>
          <w:bdr w:val="none" w:sz="0" w:space="0" w:color="auto" w:frame="1"/>
          <w:shd w:val="clear" w:color="auto" w:fill="FFFFFF"/>
        </w:rPr>
      </w:pPr>
      <w:r w:rsidRPr="003F1F63">
        <w:rPr>
          <w:bdr w:val="none" w:sz="0" w:space="0" w:color="auto" w:frame="1"/>
          <w:shd w:val="clear" w:color="auto" w:fill="FFFFFF"/>
        </w:rPr>
        <w:t xml:space="preserve">(2) The utilization rate is a per capita figure based on the usable square feet. It, too, </w:t>
      </w:r>
      <w:r w:rsidR="00E9177E" w:rsidRPr="003F1F63">
        <w:rPr>
          <w:bdr w:val="none" w:sz="0" w:space="0" w:color="auto" w:frame="1"/>
          <w:shd w:val="clear" w:color="auto" w:fill="FFFFFF"/>
        </w:rPr>
        <w:t xml:space="preserve">includes circulation space. </w:t>
      </w:r>
    </w:p>
    <w:p w14:paraId="3D79C46B" w14:textId="157FFD8A" w:rsidR="003634B8" w:rsidRPr="003F1F63" w:rsidRDefault="003634B8" w:rsidP="000778F3">
      <w:pPr>
        <w:spacing w:after="240"/>
        <w:ind w:left="720"/>
        <w:rPr>
          <w:bdr w:val="none" w:sz="0" w:space="0" w:color="auto" w:frame="1"/>
          <w:shd w:val="clear" w:color="auto" w:fill="FFFFFF"/>
        </w:rPr>
      </w:pPr>
      <w:r w:rsidRPr="003F1F63">
        <w:rPr>
          <w:bdr w:val="none" w:sz="0" w:space="0" w:color="auto" w:frame="1"/>
          <w:shd w:val="clear" w:color="auto" w:fill="FFFFFF"/>
        </w:rPr>
        <w:lastRenderedPageBreak/>
        <w:t xml:space="preserve">(3) </w:t>
      </w:r>
      <w:r w:rsidR="00E9177E" w:rsidRPr="003F1F63">
        <w:rPr>
          <w:bdr w:val="none" w:sz="0" w:space="0" w:color="auto" w:frame="1"/>
          <w:shd w:val="clear" w:color="auto" w:fill="FFFFFF"/>
        </w:rPr>
        <w:t xml:space="preserve">Workspace, as defined by the Agency, is a term </w:t>
      </w:r>
      <w:r w:rsidR="00E92813" w:rsidRPr="003F1F63">
        <w:rPr>
          <w:bdr w:val="none" w:sz="0" w:space="0" w:color="auto" w:frame="1"/>
          <w:shd w:val="clear" w:color="auto" w:fill="FFFFFF"/>
        </w:rPr>
        <w:t xml:space="preserve">that </w:t>
      </w:r>
      <w:r w:rsidR="00E9177E" w:rsidRPr="003F1F63">
        <w:rPr>
          <w:bdr w:val="none" w:sz="0" w:space="0" w:color="auto" w:frame="1"/>
          <w:shd w:val="clear" w:color="auto" w:fill="FFFFFF"/>
        </w:rPr>
        <w:t>appl</w:t>
      </w:r>
      <w:r w:rsidR="00E92813" w:rsidRPr="003F1F63">
        <w:rPr>
          <w:bdr w:val="none" w:sz="0" w:space="0" w:color="auto" w:frame="1"/>
          <w:shd w:val="clear" w:color="auto" w:fill="FFFFFF"/>
        </w:rPr>
        <w:t>ies</w:t>
      </w:r>
      <w:r w:rsidR="00E9177E" w:rsidRPr="003F1F63">
        <w:rPr>
          <w:bdr w:val="none" w:sz="0" w:space="0" w:color="auto" w:frame="1"/>
          <w:shd w:val="clear" w:color="auto" w:fill="FFFFFF"/>
        </w:rPr>
        <w:t xml:space="preserve"> only to an employee’s “individual work area.”</w:t>
      </w:r>
    </w:p>
    <w:p w14:paraId="77289577" w14:textId="121B3AE2" w:rsidR="00E9177E" w:rsidRPr="003F1F63" w:rsidRDefault="00E9177E" w:rsidP="000778F3">
      <w:pPr>
        <w:spacing w:after="240"/>
        <w:ind w:left="720"/>
        <w:rPr>
          <w:bdr w:val="none" w:sz="0" w:space="0" w:color="auto" w:frame="1"/>
          <w:shd w:val="clear" w:color="auto" w:fill="FFFFFF"/>
        </w:rPr>
      </w:pPr>
      <w:r w:rsidRPr="003F1F63">
        <w:rPr>
          <w:bdr w:val="none" w:sz="0" w:space="0" w:color="auto" w:frame="1"/>
          <w:shd w:val="clear" w:color="auto" w:fill="FFFFFF"/>
        </w:rPr>
        <w:t>(4) Under the terms of Section 57.04(3)(b), the utilization rate of 175 square feet per person does include circulation space, collaboration areas, and special space</w:t>
      </w:r>
      <w:r w:rsidR="000778F3" w:rsidRPr="003F1F63">
        <w:rPr>
          <w:bdr w:val="none" w:sz="0" w:space="0" w:color="auto" w:frame="1"/>
          <w:shd w:val="clear" w:color="auto" w:fill="FFFFFF"/>
        </w:rPr>
        <w:t>; however, 30</w:t>
      </w:r>
      <w:r w:rsidR="000778F3" w:rsidRPr="003F1F63">
        <w:rPr>
          <w:bdr w:val="none" w:sz="0" w:space="0" w:color="auto" w:frame="1"/>
          <w:shd w:val="clear" w:color="auto" w:fill="FFFFFF"/>
        </w:rPr>
        <w:softHyphen/>
        <w:t xml:space="preserve">–35% of </w:t>
      </w:r>
      <w:proofErr w:type="gramStart"/>
      <w:r w:rsidR="000778F3" w:rsidRPr="003F1F63">
        <w:rPr>
          <w:bdr w:val="none" w:sz="0" w:space="0" w:color="auto" w:frame="1"/>
          <w:shd w:val="clear" w:color="auto" w:fill="FFFFFF"/>
        </w:rPr>
        <w:t>that 175 square feet</w:t>
      </w:r>
      <w:proofErr w:type="gramEnd"/>
      <w:r w:rsidR="000778F3" w:rsidRPr="003F1F63">
        <w:rPr>
          <w:bdr w:val="none" w:sz="0" w:space="0" w:color="auto" w:frame="1"/>
          <w:shd w:val="clear" w:color="auto" w:fill="FFFFFF"/>
        </w:rPr>
        <w:t xml:space="preserve"> per person is dedicated to “individual work areas,” i.e., workspace. Circulation space, and </w:t>
      </w:r>
      <w:r w:rsidR="0056746B" w:rsidRPr="003F1F63">
        <w:rPr>
          <w:bdr w:val="none" w:sz="0" w:space="0" w:color="auto" w:frame="1"/>
          <w:shd w:val="clear" w:color="auto" w:fill="FFFFFF"/>
        </w:rPr>
        <w:t>special</w:t>
      </w:r>
      <w:r w:rsidR="000778F3" w:rsidRPr="003F1F63">
        <w:rPr>
          <w:bdr w:val="none" w:sz="0" w:space="0" w:color="auto" w:frame="1"/>
          <w:shd w:val="clear" w:color="auto" w:fill="FFFFFF"/>
        </w:rPr>
        <w:t xml:space="preserve"> space that is not </w:t>
      </w:r>
      <w:r w:rsidR="0056746B" w:rsidRPr="003F1F63">
        <w:rPr>
          <w:bdr w:val="none" w:sz="0" w:space="0" w:color="auto" w:frame="1"/>
          <w:shd w:val="clear" w:color="auto" w:fill="FFFFFF"/>
        </w:rPr>
        <w:t xml:space="preserve">part of </w:t>
      </w:r>
      <w:r w:rsidR="000778F3" w:rsidRPr="003F1F63">
        <w:rPr>
          <w:bdr w:val="none" w:sz="0" w:space="0" w:color="auto" w:frame="1"/>
          <w:shd w:val="clear" w:color="auto" w:fill="FFFFFF"/>
        </w:rPr>
        <w:t xml:space="preserve">individual work areas, </w:t>
      </w:r>
      <w:proofErr w:type="gramStart"/>
      <w:r w:rsidR="000778F3" w:rsidRPr="003F1F63">
        <w:rPr>
          <w:bdr w:val="none" w:sz="0" w:space="0" w:color="auto" w:frame="1"/>
          <w:shd w:val="clear" w:color="auto" w:fill="FFFFFF"/>
        </w:rPr>
        <w:t>is included</w:t>
      </w:r>
      <w:proofErr w:type="gramEnd"/>
      <w:r w:rsidR="000778F3" w:rsidRPr="003F1F63">
        <w:rPr>
          <w:bdr w:val="none" w:sz="0" w:space="0" w:color="auto" w:frame="1"/>
          <w:shd w:val="clear" w:color="auto" w:fill="FFFFFF"/>
        </w:rPr>
        <w:t xml:space="preserve"> in the remaining 65–70% of the </w:t>
      </w:r>
      <w:r w:rsidR="00E92813" w:rsidRPr="003F1F63">
        <w:rPr>
          <w:bdr w:val="none" w:sz="0" w:space="0" w:color="auto" w:frame="1"/>
          <w:shd w:val="clear" w:color="auto" w:fill="FFFFFF"/>
        </w:rPr>
        <w:t xml:space="preserve">utilization rate. </w:t>
      </w:r>
    </w:p>
    <w:p w14:paraId="3CD03F9C" w14:textId="6ED1FD9D" w:rsidR="007F5085" w:rsidRPr="003F1F63" w:rsidRDefault="00162026" w:rsidP="0046637A">
      <w:pPr>
        <w:spacing w:after="240"/>
        <w:rPr>
          <w:bdr w:val="none" w:sz="0" w:space="0" w:color="auto" w:frame="1"/>
          <w:shd w:val="clear" w:color="auto" w:fill="FFFFFF"/>
        </w:rPr>
      </w:pPr>
      <w:r w:rsidRPr="003F1F63">
        <w:rPr>
          <w:bdr w:val="none" w:sz="0" w:space="0" w:color="auto" w:frame="1"/>
          <w:shd w:val="clear" w:color="auto" w:fill="FFFFFF"/>
        </w:rPr>
        <w:t xml:space="preserve"> </w:t>
      </w:r>
      <w:r w:rsidR="00E92813" w:rsidRPr="003F1F63">
        <w:rPr>
          <w:bdr w:val="none" w:sz="0" w:space="0" w:color="auto" w:frame="1"/>
          <w:shd w:val="clear" w:color="auto" w:fill="FFFFFF"/>
        </w:rPr>
        <w:t xml:space="preserve">The fact that the Agency incorporated these definitions into its own policy handbook only months after completing term contract negotiations with the Union </w:t>
      </w:r>
      <w:r w:rsidR="00AA1A47" w:rsidRPr="003F1F63">
        <w:rPr>
          <w:bdr w:val="none" w:sz="0" w:space="0" w:color="auto" w:frame="1"/>
          <w:shd w:val="clear" w:color="auto" w:fill="FFFFFF"/>
        </w:rPr>
        <w:t>clearly shows that the Agency, as well as the Union, understood that the term workspace applie</w:t>
      </w:r>
      <w:r w:rsidR="003F1F63" w:rsidRPr="003F1F63">
        <w:rPr>
          <w:bdr w:val="none" w:sz="0" w:space="0" w:color="auto" w:frame="1"/>
          <w:shd w:val="clear" w:color="auto" w:fill="FFFFFF"/>
        </w:rPr>
        <w:t>d</w:t>
      </w:r>
      <w:r w:rsidR="00AA1A47" w:rsidRPr="003F1F63">
        <w:rPr>
          <w:bdr w:val="none" w:sz="0" w:space="0" w:color="auto" w:frame="1"/>
          <w:shd w:val="clear" w:color="auto" w:fill="FFFFFF"/>
        </w:rPr>
        <w:t xml:space="preserve"> only to individual </w:t>
      </w:r>
      <w:r w:rsidR="007B3E0A" w:rsidRPr="003F1F63">
        <w:rPr>
          <w:bdr w:val="none" w:sz="0" w:space="0" w:color="auto" w:frame="1"/>
          <w:shd w:val="clear" w:color="auto" w:fill="FFFFFF"/>
        </w:rPr>
        <w:t xml:space="preserve">workstations and private offices. It did not refer to—as HUD has currently attempted to force the Union to accept—“the total area within an office that houses employees’ workstations” including the aisles and walkways and whatever else lies within that “total area” housing employee workstations. </w:t>
      </w:r>
      <w:r w:rsidR="00E92813" w:rsidRPr="003F1F63">
        <w:rPr>
          <w:bdr w:val="none" w:sz="0" w:space="0" w:color="auto" w:frame="1"/>
          <w:shd w:val="clear" w:color="auto" w:fill="FFFFFF"/>
        </w:rPr>
        <w:t xml:space="preserve">Under the CBA and the established definitions of these terms, individual workspace </w:t>
      </w:r>
      <w:r w:rsidR="00046808" w:rsidRPr="003F1F63">
        <w:rPr>
          <w:bdr w:val="none" w:sz="0" w:space="0" w:color="auto" w:frame="1"/>
          <w:shd w:val="clear" w:color="auto" w:fill="FFFFFF"/>
        </w:rPr>
        <w:t xml:space="preserve">(other than private offices) must be between </w:t>
      </w:r>
      <w:r w:rsidR="00EB47C6" w:rsidRPr="003F1F63">
        <w:rPr>
          <w:bdr w:val="none" w:sz="0" w:space="0" w:color="auto" w:frame="1"/>
          <w:shd w:val="clear" w:color="auto" w:fill="FFFFFF"/>
        </w:rPr>
        <w:t xml:space="preserve">at least </w:t>
      </w:r>
      <w:r w:rsidR="00046808" w:rsidRPr="003F1F63">
        <w:rPr>
          <w:bdr w:val="none" w:sz="0" w:space="0" w:color="auto" w:frame="1"/>
          <w:shd w:val="clear" w:color="auto" w:fill="FFFFFF"/>
        </w:rPr>
        <w:t>52.5 and 62.25 square feet per person, while circulation space and special space would come out of the remaining 113.75–</w:t>
      </w:r>
      <w:r w:rsidR="0056746B" w:rsidRPr="003F1F63">
        <w:rPr>
          <w:bdr w:val="none" w:sz="0" w:space="0" w:color="auto" w:frame="1"/>
          <w:shd w:val="clear" w:color="auto" w:fill="FFFFFF"/>
        </w:rPr>
        <w:t>122.5 square feet per person from the 175</w:t>
      </w:r>
      <w:r w:rsidR="00EB47C6" w:rsidRPr="003F1F63">
        <w:rPr>
          <w:bdr w:val="none" w:sz="0" w:space="0" w:color="auto" w:frame="1"/>
          <w:shd w:val="clear" w:color="auto" w:fill="FFFFFF"/>
        </w:rPr>
        <w:t>-</w:t>
      </w:r>
      <w:r w:rsidR="0056746B" w:rsidRPr="003F1F63">
        <w:rPr>
          <w:bdr w:val="none" w:sz="0" w:space="0" w:color="auto" w:frame="1"/>
          <w:shd w:val="clear" w:color="auto" w:fill="FFFFFF"/>
        </w:rPr>
        <w:t>square</w:t>
      </w:r>
      <w:r w:rsidR="00EB47C6" w:rsidRPr="003F1F63">
        <w:rPr>
          <w:bdr w:val="none" w:sz="0" w:space="0" w:color="auto" w:frame="1"/>
          <w:shd w:val="clear" w:color="auto" w:fill="FFFFFF"/>
        </w:rPr>
        <w:t>-</w:t>
      </w:r>
      <w:r w:rsidR="0056746B" w:rsidRPr="003F1F63">
        <w:rPr>
          <w:bdr w:val="none" w:sz="0" w:space="0" w:color="auto" w:frame="1"/>
          <w:shd w:val="clear" w:color="auto" w:fill="FFFFFF"/>
        </w:rPr>
        <w:t>foot utilization rate.</w:t>
      </w:r>
    </w:p>
    <w:p w14:paraId="3C377F3D" w14:textId="64FB8867" w:rsidR="00F95D7B" w:rsidRPr="003F1F63" w:rsidRDefault="007B3E0A" w:rsidP="00CB5133">
      <w:pPr>
        <w:spacing w:after="240"/>
        <w:rPr>
          <w:bdr w:val="none" w:sz="0" w:space="0" w:color="auto" w:frame="1"/>
          <w:shd w:val="clear" w:color="auto" w:fill="FFFFFF"/>
        </w:rPr>
      </w:pPr>
      <w:r w:rsidRPr="003F1F63">
        <w:rPr>
          <w:bdr w:val="none" w:sz="0" w:space="0" w:color="auto" w:frame="1"/>
          <w:shd w:val="clear" w:color="auto" w:fill="FFFFFF"/>
        </w:rPr>
        <w:t xml:space="preserve">Contracts </w:t>
      </w:r>
      <w:proofErr w:type="gramStart"/>
      <w:r w:rsidRPr="003F1F63">
        <w:rPr>
          <w:bdr w:val="none" w:sz="0" w:space="0" w:color="auto" w:frame="1"/>
          <w:shd w:val="clear" w:color="auto" w:fill="FFFFFF"/>
        </w:rPr>
        <w:t>are typically interpreted</w:t>
      </w:r>
      <w:proofErr w:type="gramEnd"/>
      <w:r w:rsidRPr="003F1F63">
        <w:rPr>
          <w:bdr w:val="none" w:sz="0" w:space="0" w:color="auto" w:frame="1"/>
          <w:shd w:val="clear" w:color="auto" w:fill="FFFFFF"/>
        </w:rPr>
        <w:t xml:space="preserve"> based on the plain meaning of the </w:t>
      </w:r>
      <w:r w:rsidR="00EC222A" w:rsidRPr="003F1F63">
        <w:rPr>
          <w:bdr w:val="none" w:sz="0" w:space="0" w:color="auto" w:frame="1"/>
          <w:shd w:val="clear" w:color="auto" w:fill="FFFFFF"/>
        </w:rPr>
        <w:t>clear and unambiguous language</w:t>
      </w:r>
      <w:r w:rsidRPr="003F1F63">
        <w:rPr>
          <w:bdr w:val="none" w:sz="0" w:space="0" w:color="auto" w:frame="1"/>
          <w:shd w:val="clear" w:color="auto" w:fill="FFFFFF"/>
        </w:rPr>
        <w:t xml:space="preserve"> used. </w:t>
      </w:r>
      <w:r w:rsidR="007F5085" w:rsidRPr="003F1F63">
        <w:rPr>
          <w:bdr w:val="none" w:sz="0" w:space="0" w:color="auto" w:frame="1"/>
          <w:shd w:val="clear" w:color="auto" w:fill="FFFFFF"/>
        </w:rPr>
        <w:t xml:space="preserve">Management is attempting to redefine workspace based on </w:t>
      </w:r>
      <w:r w:rsidR="00EC222A" w:rsidRPr="003F1F63">
        <w:rPr>
          <w:bdr w:val="none" w:sz="0" w:space="0" w:color="auto" w:frame="1"/>
          <w:shd w:val="clear" w:color="auto" w:fill="FFFFFF"/>
        </w:rPr>
        <w:t xml:space="preserve">an indirect inference </w:t>
      </w:r>
      <w:r w:rsidR="007F5085" w:rsidRPr="003F1F63">
        <w:rPr>
          <w:bdr w:val="none" w:sz="0" w:space="0" w:color="auto" w:frame="1"/>
          <w:shd w:val="clear" w:color="auto" w:fill="FFFFFF"/>
        </w:rPr>
        <w:t xml:space="preserve">from </w:t>
      </w:r>
      <w:r w:rsidR="00EC222A" w:rsidRPr="003F1F63">
        <w:rPr>
          <w:bdr w:val="none" w:sz="0" w:space="0" w:color="auto" w:frame="1"/>
          <w:shd w:val="clear" w:color="auto" w:fill="FFFFFF"/>
        </w:rPr>
        <w:t>Section 5</w:t>
      </w:r>
      <w:r w:rsidR="00985BC8">
        <w:rPr>
          <w:bdr w:val="none" w:sz="0" w:space="0" w:color="auto" w:frame="1"/>
          <w:shd w:val="clear" w:color="auto" w:fill="FFFFFF"/>
        </w:rPr>
        <w:t>7</w:t>
      </w:r>
      <w:r w:rsidR="00EC222A" w:rsidRPr="003F1F63">
        <w:rPr>
          <w:bdr w:val="none" w:sz="0" w:space="0" w:color="auto" w:frame="1"/>
          <w:shd w:val="clear" w:color="auto" w:fill="FFFFFF"/>
        </w:rPr>
        <w:t>.04(3)(b)</w:t>
      </w:r>
      <w:r w:rsidR="00F5781F" w:rsidRPr="003F1F63">
        <w:rPr>
          <w:bdr w:val="none" w:sz="0" w:space="0" w:color="auto" w:frame="1"/>
          <w:shd w:val="clear" w:color="auto" w:fill="FFFFFF"/>
        </w:rPr>
        <w:t xml:space="preserve">, </w:t>
      </w:r>
      <w:r w:rsidR="007F5085" w:rsidRPr="003F1F63">
        <w:rPr>
          <w:bdr w:val="none" w:sz="0" w:space="0" w:color="auto" w:frame="1"/>
          <w:shd w:val="clear" w:color="auto" w:fill="FFFFFF"/>
        </w:rPr>
        <w:t>“The amount of workspace for employees shall be approximately 30-35% of the utilization rate</w:t>
      </w:r>
      <w:r w:rsidR="0056746B" w:rsidRPr="003F1F63">
        <w:rPr>
          <w:bdr w:val="none" w:sz="0" w:space="0" w:color="auto" w:frame="1"/>
          <w:shd w:val="clear" w:color="auto" w:fill="FFFFFF"/>
        </w:rPr>
        <w:t>,</w:t>
      </w:r>
      <w:r w:rsidR="007F5085" w:rsidRPr="003F1F63">
        <w:rPr>
          <w:bdr w:val="none" w:sz="0" w:space="0" w:color="auto" w:frame="1"/>
          <w:shd w:val="clear" w:color="auto" w:fill="FFFFFF"/>
        </w:rPr>
        <w:t xml:space="preserve">” </w:t>
      </w:r>
      <w:r w:rsidR="0056746B" w:rsidRPr="003F1F63">
        <w:rPr>
          <w:bdr w:val="none" w:sz="0" w:space="0" w:color="auto" w:frame="1"/>
          <w:shd w:val="clear" w:color="auto" w:fill="FFFFFF"/>
        </w:rPr>
        <w:t xml:space="preserve">taking it out of context and reading it independently of the </w:t>
      </w:r>
      <w:r w:rsidR="004E0757" w:rsidRPr="003F1F63">
        <w:rPr>
          <w:bdr w:val="none" w:sz="0" w:space="0" w:color="auto" w:frame="1"/>
          <w:shd w:val="clear" w:color="auto" w:fill="FFFFFF"/>
        </w:rPr>
        <w:t>P</w:t>
      </w:r>
      <w:r w:rsidR="0056746B" w:rsidRPr="003F1F63">
        <w:rPr>
          <w:bdr w:val="none" w:sz="0" w:space="0" w:color="auto" w:frame="1"/>
          <w:shd w:val="clear" w:color="auto" w:fill="FFFFFF"/>
        </w:rPr>
        <w:t>arties’ shared understanding of the terms, as established by the 2016 version of Chapter 13.</w:t>
      </w:r>
      <w:r w:rsidR="007F5085" w:rsidRPr="003F1F63">
        <w:rPr>
          <w:bdr w:val="none" w:sz="0" w:space="0" w:color="auto" w:frame="1"/>
          <w:shd w:val="clear" w:color="auto" w:fill="FFFFFF"/>
        </w:rPr>
        <w:t xml:space="preserve"> Neither that statement nor that entire </w:t>
      </w:r>
      <w:r w:rsidR="0056746B" w:rsidRPr="003F1F63">
        <w:rPr>
          <w:bdr w:val="none" w:sz="0" w:space="0" w:color="auto" w:frame="1"/>
          <w:shd w:val="clear" w:color="auto" w:fill="FFFFFF"/>
        </w:rPr>
        <w:t>Section 5</w:t>
      </w:r>
      <w:r w:rsidR="00985BC8">
        <w:rPr>
          <w:bdr w:val="none" w:sz="0" w:space="0" w:color="auto" w:frame="1"/>
          <w:shd w:val="clear" w:color="auto" w:fill="FFFFFF"/>
        </w:rPr>
        <w:t>7</w:t>
      </w:r>
      <w:r w:rsidR="0056746B" w:rsidRPr="003F1F63">
        <w:rPr>
          <w:bdr w:val="none" w:sz="0" w:space="0" w:color="auto" w:frame="1"/>
          <w:shd w:val="clear" w:color="auto" w:fill="FFFFFF"/>
        </w:rPr>
        <w:t xml:space="preserve">.04(3)(b) </w:t>
      </w:r>
      <w:r w:rsidR="00F5781F" w:rsidRPr="003F1F63">
        <w:rPr>
          <w:bdr w:val="none" w:sz="0" w:space="0" w:color="auto" w:frame="1"/>
          <w:shd w:val="clear" w:color="auto" w:fill="FFFFFF"/>
        </w:rPr>
        <w:t>include</w:t>
      </w:r>
      <w:r w:rsidR="007F5085" w:rsidRPr="003F1F63">
        <w:rPr>
          <w:bdr w:val="none" w:sz="0" w:space="0" w:color="auto" w:frame="1"/>
          <w:shd w:val="clear" w:color="auto" w:fill="FFFFFF"/>
        </w:rPr>
        <w:t>s</w:t>
      </w:r>
      <w:r w:rsidR="00F5781F" w:rsidRPr="003F1F63">
        <w:rPr>
          <w:bdr w:val="none" w:sz="0" w:space="0" w:color="auto" w:frame="1"/>
          <w:shd w:val="clear" w:color="auto" w:fill="FFFFFF"/>
        </w:rPr>
        <w:t xml:space="preserve"> the terms “circulation space” or “aisles” between employee workspace or workstations</w:t>
      </w:r>
      <w:r w:rsidR="00EC222A" w:rsidRPr="003F1F63">
        <w:rPr>
          <w:bdr w:val="none" w:sz="0" w:space="0" w:color="auto" w:frame="1"/>
          <w:shd w:val="clear" w:color="auto" w:fill="FFFFFF"/>
        </w:rPr>
        <w:t xml:space="preserve">. The Union has term negotiators </w:t>
      </w:r>
      <w:r w:rsidR="0056746B" w:rsidRPr="003F1F63">
        <w:rPr>
          <w:bdr w:val="none" w:sz="0" w:space="0" w:color="auto" w:frame="1"/>
          <w:shd w:val="clear" w:color="auto" w:fill="FFFFFF"/>
        </w:rPr>
        <w:t>from</w:t>
      </w:r>
      <w:r w:rsidR="00EC222A" w:rsidRPr="003F1F63">
        <w:rPr>
          <w:bdr w:val="none" w:sz="0" w:space="0" w:color="auto" w:frame="1"/>
          <w:shd w:val="clear" w:color="auto" w:fill="FFFFFF"/>
        </w:rPr>
        <w:t xml:space="preserve"> the 2015 collective bargaining agreement negotiations who dispute the Agency’s alleged negotiator Mr. Schim</w:t>
      </w:r>
      <w:r w:rsidR="0023019C" w:rsidRPr="003F1F63">
        <w:rPr>
          <w:bdr w:val="none" w:sz="0" w:space="0" w:color="auto" w:frame="1"/>
          <w:shd w:val="clear" w:color="auto" w:fill="FFFFFF"/>
        </w:rPr>
        <w:t>m</w:t>
      </w:r>
      <w:r w:rsidR="00EC222A" w:rsidRPr="003F1F63">
        <w:rPr>
          <w:bdr w:val="none" w:sz="0" w:space="0" w:color="auto" w:frame="1"/>
          <w:shd w:val="clear" w:color="auto" w:fill="FFFFFF"/>
        </w:rPr>
        <w:t xml:space="preserve">enti’s supposed recollection of the discussion and meaning of this language in Section </w:t>
      </w:r>
      <w:r w:rsidR="0023019C" w:rsidRPr="003F1F63">
        <w:rPr>
          <w:bdr w:val="none" w:sz="0" w:space="0" w:color="auto" w:frame="1"/>
          <w:shd w:val="clear" w:color="auto" w:fill="FFFFFF"/>
        </w:rPr>
        <w:t>57.04(3)(b) of the Agreement.</w:t>
      </w:r>
      <w:r w:rsidR="00F5781F" w:rsidRPr="003F1F63">
        <w:rPr>
          <w:bdr w:val="none" w:sz="0" w:space="0" w:color="auto" w:frame="1"/>
          <w:shd w:val="clear" w:color="auto" w:fill="FFFFFF"/>
        </w:rPr>
        <w:t xml:space="preserve"> </w:t>
      </w:r>
      <w:r w:rsidR="0056746B" w:rsidRPr="003F1F63">
        <w:rPr>
          <w:bdr w:val="none" w:sz="0" w:space="0" w:color="auto" w:frame="1"/>
          <w:shd w:val="clear" w:color="auto" w:fill="FFFFFF"/>
        </w:rPr>
        <w:t xml:space="preserve">The Agency’s inclusion of the definitions quoted above in its subsequently issued </w:t>
      </w:r>
      <w:r w:rsidR="004E0757" w:rsidRPr="003F1F63">
        <w:rPr>
          <w:bdr w:val="none" w:sz="0" w:space="0" w:color="auto" w:frame="1"/>
          <w:shd w:val="clear" w:color="auto" w:fill="FFFFFF"/>
        </w:rPr>
        <w:t xml:space="preserve">2016 </w:t>
      </w:r>
      <w:r w:rsidR="0056746B" w:rsidRPr="003F1F63">
        <w:rPr>
          <w:bdr w:val="none" w:sz="0" w:space="0" w:color="auto" w:frame="1"/>
          <w:shd w:val="clear" w:color="auto" w:fill="FFFFFF"/>
        </w:rPr>
        <w:t>Handbook support</w:t>
      </w:r>
      <w:r w:rsidR="004E0757" w:rsidRPr="003F1F63">
        <w:rPr>
          <w:bdr w:val="none" w:sz="0" w:space="0" w:color="auto" w:frame="1"/>
          <w:shd w:val="clear" w:color="auto" w:fill="FFFFFF"/>
        </w:rPr>
        <w:t>s</w:t>
      </w:r>
      <w:r w:rsidR="0056746B" w:rsidRPr="003F1F63">
        <w:rPr>
          <w:bdr w:val="none" w:sz="0" w:space="0" w:color="auto" w:frame="1"/>
          <w:shd w:val="clear" w:color="auto" w:fill="FFFFFF"/>
        </w:rPr>
        <w:t xml:space="preserve"> the position of the Union’s term negotiators. </w:t>
      </w:r>
      <w:r w:rsidR="004E0757" w:rsidRPr="003F1F63">
        <w:rPr>
          <w:bdr w:val="none" w:sz="0" w:space="0" w:color="auto" w:frame="1"/>
          <w:shd w:val="clear" w:color="auto" w:fill="FFFFFF"/>
        </w:rPr>
        <w:t>The Agency has attempted to impose</w:t>
      </w:r>
      <w:r w:rsidR="00B6281C" w:rsidRPr="003F1F63">
        <w:rPr>
          <w:bdr w:val="none" w:sz="0" w:space="0" w:color="auto" w:frame="1"/>
          <w:shd w:val="clear" w:color="auto" w:fill="FFFFFF"/>
        </w:rPr>
        <w:t xml:space="preserve"> </w:t>
      </w:r>
      <w:r w:rsidR="004E0757" w:rsidRPr="003F1F63">
        <w:rPr>
          <w:bdr w:val="none" w:sz="0" w:space="0" w:color="auto" w:frame="1"/>
          <w:shd w:val="clear" w:color="auto" w:fill="FFFFFF"/>
        </w:rPr>
        <w:t xml:space="preserve">a </w:t>
      </w:r>
      <w:r w:rsidR="00B6281C" w:rsidRPr="003F1F63">
        <w:rPr>
          <w:bdr w:val="none" w:sz="0" w:space="0" w:color="auto" w:frame="1"/>
          <w:shd w:val="clear" w:color="auto" w:fill="FFFFFF"/>
        </w:rPr>
        <w:t xml:space="preserve">new </w:t>
      </w:r>
      <w:r w:rsidR="004E0757" w:rsidRPr="003F1F63">
        <w:rPr>
          <w:bdr w:val="none" w:sz="0" w:space="0" w:color="auto" w:frame="1"/>
          <w:shd w:val="clear" w:color="auto" w:fill="FFFFFF"/>
        </w:rPr>
        <w:t>interpretation of</w:t>
      </w:r>
      <w:r w:rsidR="00B6281C" w:rsidRPr="003F1F63">
        <w:rPr>
          <w:bdr w:val="none" w:sz="0" w:space="0" w:color="auto" w:frame="1"/>
          <w:shd w:val="clear" w:color="auto" w:fill="FFFFFF"/>
        </w:rPr>
        <w:t xml:space="preserve"> the language in Section 57.04(3)(b) </w:t>
      </w:r>
      <w:r w:rsidR="004E0757" w:rsidRPr="003F1F63">
        <w:rPr>
          <w:bdr w:val="none" w:sz="0" w:space="0" w:color="auto" w:frame="1"/>
          <w:shd w:val="clear" w:color="auto" w:fill="FFFFFF"/>
        </w:rPr>
        <w:t xml:space="preserve">that is </w:t>
      </w:r>
      <w:r w:rsidR="00B6281C" w:rsidRPr="003F1F63">
        <w:rPr>
          <w:bdr w:val="none" w:sz="0" w:space="0" w:color="auto" w:frame="1"/>
          <w:shd w:val="clear" w:color="auto" w:fill="FFFFFF"/>
        </w:rPr>
        <w:t xml:space="preserve">contrary </w:t>
      </w:r>
      <w:r w:rsidR="004E0757" w:rsidRPr="003F1F63">
        <w:rPr>
          <w:bdr w:val="none" w:sz="0" w:space="0" w:color="auto" w:frame="1"/>
          <w:shd w:val="clear" w:color="auto" w:fill="FFFFFF"/>
        </w:rPr>
        <w:t xml:space="preserve">both </w:t>
      </w:r>
      <w:r w:rsidR="00B6281C" w:rsidRPr="003F1F63">
        <w:rPr>
          <w:bdr w:val="none" w:sz="0" w:space="0" w:color="auto" w:frame="1"/>
          <w:shd w:val="clear" w:color="auto" w:fill="FFFFFF"/>
        </w:rPr>
        <w:t xml:space="preserve">to the plain meaning of the language and </w:t>
      </w:r>
      <w:r w:rsidR="004E0757" w:rsidRPr="003F1F63">
        <w:rPr>
          <w:bdr w:val="none" w:sz="0" w:space="0" w:color="auto" w:frame="1"/>
          <w:shd w:val="clear" w:color="auto" w:fill="FFFFFF"/>
        </w:rPr>
        <w:t xml:space="preserve">to the Parties’ shared understanding </w:t>
      </w:r>
      <w:r w:rsidR="00B6281C" w:rsidRPr="003F1F63">
        <w:rPr>
          <w:bdr w:val="none" w:sz="0" w:space="0" w:color="auto" w:frame="1"/>
          <w:shd w:val="clear" w:color="auto" w:fill="FFFFFF"/>
        </w:rPr>
        <w:t>during the 2015 CBA term negotiations.</w:t>
      </w:r>
    </w:p>
    <w:p w14:paraId="3ADB5589" w14:textId="2609F646" w:rsidR="000935F7" w:rsidRPr="003F1F63" w:rsidRDefault="00F95D7B" w:rsidP="00960B81">
      <w:pPr>
        <w:spacing w:after="240"/>
        <w:rPr>
          <w:bdr w:val="none" w:sz="0" w:space="0" w:color="auto" w:frame="1"/>
          <w:shd w:val="clear" w:color="auto" w:fill="FFFFFF"/>
        </w:rPr>
      </w:pPr>
      <w:r w:rsidRPr="003F1F63">
        <w:rPr>
          <w:bdr w:val="none" w:sz="0" w:space="0" w:color="auto" w:frame="1"/>
          <w:shd w:val="clear" w:color="auto" w:fill="FFFFFF"/>
        </w:rPr>
        <w:t xml:space="preserve">4. HUD violated Article 6, Section 6.01, which requires that “Employees shall be treated fairly and equitably in the administration of this Agreement and in policies and practices concerning conditions of employment.” By insisting that </w:t>
      </w:r>
      <w:r w:rsidR="00960B81" w:rsidRPr="003F1F63">
        <w:rPr>
          <w:bdr w:val="none" w:sz="0" w:space="0" w:color="auto" w:frame="1"/>
          <w:shd w:val="clear" w:color="auto" w:fill="FFFFFF"/>
        </w:rPr>
        <w:t xml:space="preserve">some employees use hot desks, which will be smaller than reserved or permanently assigned workstations and which will lack the typical furnishings of a workstation/office (external monitors, keyboards, and mice), HUD is treating those employees in an inequitable and unfair manner that can affect their productivity and performance. It is unfair and inequitable to refuse to treat all employees reporting to work in a HUD office in the same manner. </w:t>
      </w:r>
    </w:p>
    <w:p w14:paraId="1F8F6492" w14:textId="4FFE7936" w:rsidR="00076C57" w:rsidRPr="003F1F63" w:rsidRDefault="00076C57" w:rsidP="00F42AD6">
      <w:pPr>
        <w:keepNext/>
        <w:spacing w:after="240"/>
        <w:rPr>
          <w:b/>
          <w:bCs/>
          <w:bdr w:val="none" w:sz="0" w:space="0" w:color="auto" w:frame="1"/>
          <w:shd w:val="clear" w:color="auto" w:fill="FFFFFF"/>
        </w:rPr>
      </w:pPr>
      <w:r w:rsidRPr="003F1F63">
        <w:rPr>
          <w:b/>
          <w:bCs/>
          <w:bdr w:val="none" w:sz="0" w:space="0" w:color="auto" w:frame="1"/>
          <w:shd w:val="clear" w:color="auto" w:fill="FFFFFF"/>
        </w:rPr>
        <w:lastRenderedPageBreak/>
        <w:t>Unfair Labor Practices</w:t>
      </w:r>
    </w:p>
    <w:p w14:paraId="673E3757" w14:textId="1203746E" w:rsidR="003D0FD6" w:rsidRPr="003F1F63" w:rsidRDefault="002338E8" w:rsidP="009D0BED">
      <w:pPr>
        <w:rPr>
          <w:bdr w:val="none" w:sz="0" w:space="0" w:color="auto" w:frame="1"/>
          <w:shd w:val="clear" w:color="auto" w:fill="FFFFFF"/>
        </w:rPr>
      </w:pPr>
      <w:r w:rsidRPr="003F1F63">
        <w:rPr>
          <w:bdr w:val="none" w:sz="0" w:space="0" w:color="auto" w:frame="1"/>
          <w:shd w:val="clear" w:color="auto" w:fill="FFFFFF"/>
        </w:rPr>
        <w:t xml:space="preserve">HUD committed an unfair labor practice in violation of 5 U.S.C. § 7116(a)(5) by failing to consult or negotiate in good faith with the Union. </w:t>
      </w:r>
      <w:r w:rsidR="009D0BED" w:rsidRPr="003F1F63">
        <w:rPr>
          <w:bdr w:val="none" w:sz="0" w:space="0" w:color="auto" w:frame="1"/>
          <w:shd w:val="clear" w:color="auto" w:fill="FFFFFF"/>
        </w:rPr>
        <w:t xml:space="preserve">The Agency failed to provide information about all the proposed changes that is specific enough for the Union to have a reasonable opportunity to request bargaining. For example, the Agency did not provide its “new” version of the revised Chapter 13 until after bargaining began and denied the Union adequate time to review the new version and prepare relevant bargaining </w:t>
      </w:r>
      <w:r w:rsidR="00114086" w:rsidRPr="003F1F63">
        <w:rPr>
          <w:bdr w:val="none" w:sz="0" w:space="0" w:color="auto" w:frame="1"/>
          <w:shd w:val="clear" w:color="auto" w:fill="FFFFFF"/>
        </w:rPr>
        <w:t xml:space="preserve">proposals and </w:t>
      </w:r>
      <w:r w:rsidR="00DB4B93" w:rsidRPr="003F1F63">
        <w:rPr>
          <w:bdr w:val="none" w:sz="0" w:space="0" w:color="auto" w:frame="1"/>
          <w:shd w:val="clear" w:color="auto" w:fill="FFFFFF"/>
        </w:rPr>
        <w:t xml:space="preserve">it </w:t>
      </w:r>
      <w:r w:rsidR="00114086" w:rsidRPr="003F1F63">
        <w:rPr>
          <w:bdr w:val="none" w:sz="0" w:space="0" w:color="auto" w:frame="1"/>
          <w:shd w:val="clear" w:color="auto" w:fill="FFFFFF"/>
        </w:rPr>
        <w:t xml:space="preserve">failed to identify all the changes from the initial version of the proposed revision. To date, the Agency </w:t>
      </w:r>
      <w:r w:rsidR="009D0BED" w:rsidRPr="003F1F63">
        <w:rPr>
          <w:bdr w:val="none" w:sz="0" w:space="0" w:color="auto" w:frame="1"/>
          <w:shd w:val="clear" w:color="auto" w:fill="FFFFFF"/>
        </w:rPr>
        <w:t>has not provided</w:t>
      </w:r>
      <w:r w:rsidR="007A2194" w:rsidRPr="003F1F63">
        <w:rPr>
          <w:bdr w:val="none" w:sz="0" w:space="0" w:color="auto" w:frame="1"/>
          <w:shd w:val="clear" w:color="auto" w:fill="FFFFFF"/>
        </w:rPr>
        <w:t xml:space="preserve"> adequate</w:t>
      </w:r>
      <w:r w:rsidR="009D0BED" w:rsidRPr="003F1F63">
        <w:rPr>
          <w:bdr w:val="none" w:sz="0" w:space="0" w:color="auto" w:frame="1"/>
          <w:shd w:val="clear" w:color="auto" w:fill="FFFFFF"/>
        </w:rPr>
        <w:t xml:space="preserve"> information about a reservation system for </w:t>
      </w:r>
      <w:r w:rsidR="00114086" w:rsidRPr="003F1F63">
        <w:rPr>
          <w:bdr w:val="none" w:sz="0" w:space="0" w:color="auto" w:frame="1"/>
          <w:shd w:val="clear" w:color="auto" w:fill="FFFFFF"/>
        </w:rPr>
        <w:t>hoteling and</w:t>
      </w:r>
      <w:r w:rsidR="009D0BED" w:rsidRPr="003F1F63">
        <w:rPr>
          <w:bdr w:val="none" w:sz="0" w:space="0" w:color="auto" w:frame="1"/>
          <w:shd w:val="clear" w:color="auto" w:fill="FFFFFF"/>
        </w:rPr>
        <w:t xml:space="preserve"> has not provided </w:t>
      </w:r>
      <w:r w:rsidR="007A2194" w:rsidRPr="003F1F63">
        <w:rPr>
          <w:bdr w:val="none" w:sz="0" w:space="0" w:color="auto" w:frame="1"/>
          <w:shd w:val="clear" w:color="auto" w:fill="FFFFFF"/>
        </w:rPr>
        <w:t xml:space="preserve">sufficient </w:t>
      </w:r>
      <w:r w:rsidR="009D0BED" w:rsidRPr="003F1F63">
        <w:rPr>
          <w:bdr w:val="none" w:sz="0" w:space="0" w:color="auto" w:frame="1"/>
          <w:shd w:val="clear" w:color="auto" w:fill="FFFFFF"/>
        </w:rPr>
        <w:t xml:space="preserve">information about soft phone applications. </w:t>
      </w:r>
      <w:r w:rsidR="00534A02" w:rsidRPr="003F1F63">
        <w:t>In accordance with Federal Labor Relations Authority (FLRA) case law, proper and adequate notification to a union “</w:t>
      </w:r>
      <w:r w:rsidR="00534A02" w:rsidRPr="003F1F63">
        <w:rPr>
          <w:color w:val="000000"/>
          <w:shd w:val="clear" w:color="auto" w:fill="FFFFFF"/>
        </w:rPr>
        <w:t xml:space="preserve">must be </w:t>
      </w:r>
      <w:bookmarkStart w:id="1" w:name="_Hlk144839814"/>
      <w:r w:rsidR="00534A02" w:rsidRPr="003F1F63">
        <w:rPr>
          <w:color w:val="000000"/>
          <w:shd w:val="clear" w:color="auto" w:fill="FFFFFF"/>
        </w:rPr>
        <w:t xml:space="preserve">sufficiently specific or definitive regarding the actual change </w:t>
      </w:r>
      <w:bookmarkEnd w:id="1"/>
      <w:r w:rsidR="00534A02" w:rsidRPr="003F1F63">
        <w:rPr>
          <w:color w:val="000000"/>
          <w:shd w:val="clear" w:color="auto" w:fill="FFFFFF"/>
        </w:rPr>
        <w:t>contemplated so as to adequately provide the union with a reasonable opportunity to request bargaining. </w:t>
      </w:r>
      <w:r w:rsidR="00534A02" w:rsidRPr="003F1F63">
        <w:rPr>
          <w:i/>
          <w:iCs/>
          <w:color w:val="000000"/>
          <w:shd w:val="clear" w:color="auto" w:fill="FFFFFF"/>
        </w:rPr>
        <w:t>See</w:t>
      </w:r>
      <w:r w:rsidR="00534A02" w:rsidRPr="003F1F63">
        <w:rPr>
          <w:color w:val="000000"/>
          <w:shd w:val="clear" w:color="auto" w:fill="FFFFFF"/>
        </w:rPr>
        <w:t>, for example, </w:t>
      </w:r>
      <w:r w:rsidR="00534A02" w:rsidRPr="003F1F63">
        <w:rPr>
          <w:i/>
          <w:iCs/>
          <w:color w:val="000000"/>
          <w:shd w:val="clear" w:color="auto" w:fill="FFFFFF"/>
        </w:rPr>
        <w:t>Internal Revenue Service (District, Region and National Office Unit and Service Center Unit)</w:t>
      </w:r>
      <w:r w:rsidR="00534A02" w:rsidRPr="003F1F63">
        <w:rPr>
          <w:color w:val="000000"/>
          <w:shd w:val="clear" w:color="auto" w:fill="FFFFFF"/>
        </w:rPr>
        <w:t xml:space="preserve">, 10 FLRA 326, 327 (1982)  (Member Applewhaite dissenting as to other matters).” </w:t>
      </w:r>
      <w:r w:rsidR="00534A02" w:rsidRPr="003F1F63">
        <w:rPr>
          <w:i/>
          <w:iCs/>
          <w:color w:val="000000"/>
          <w:shd w:val="clear" w:color="auto" w:fill="FFFFFF"/>
        </w:rPr>
        <w:t>U.S. Department of the Air Force and AFGE Local 1592</w:t>
      </w:r>
      <w:r w:rsidR="00534A02" w:rsidRPr="003F1F63">
        <w:rPr>
          <w:color w:val="000000"/>
          <w:shd w:val="clear" w:color="auto" w:fill="FFFFFF"/>
        </w:rPr>
        <w:t>, 41 FLRA 690, 698 (1991)</w:t>
      </w:r>
      <w:r w:rsidR="00921D2C" w:rsidRPr="003F1F63">
        <w:rPr>
          <w:color w:val="000000"/>
          <w:shd w:val="clear" w:color="auto" w:fill="FFFFFF"/>
        </w:rPr>
        <w:t>.</w:t>
      </w:r>
    </w:p>
    <w:p w14:paraId="541B7C88" w14:textId="77777777" w:rsidR="003D0FD6" w:rsidRPr="003F1F63" w:rsidRDefault="003D0FD6" w:rsidP="009D0BED">
      <w:pPr>
        <w:rPr>
          <w:bdr w:val="none" w:sz="0" w:space="0" w:color="auto" w:frame="1"/>
          <w:shd w:val="clear" w:color="auto" w:fill="FFFFFF"/>
        </w:rPr>
      </w:pPr>
    </w:p>
    <w:p w14:paraId="32832BEA" w14:textId="72A95AD5" w:rsidR="003D0FD6" w:rsidRPr="003F1F63" w:rsidRDefault="00114086" w:rsidP="009D0BED">
      <w:pPr>
        <w:rPr>
          <w:bdr w:val="none" w:sz="0" w:space="0" w:color="auto" w:frame="1"/>
          <w:shd w:val="clear" w:color="auto" w:fill="FFFFFF"/>
        </w:rPr>
      </w:pPr>
      <w:r w:rsidRPr="003F1F63">
        <w:rPr>
          <w:bdr w:val="none" w:sz="0" w:space="0" w:color="auto" w:frame="1"/>
          <w:shd w:val="clear" w:color="auto" w:fill="FFFFFF"/>
        </w:rPr>
        <w:t xml:space="preserve">Management has yet to answer the Union’s questions about how and when or how frequently </w:t>
      </w:r>
      <w:r w:rsidR="003D0FD6" w:rsidRPr="003F1F63">
        <w:rPr>
          <w:bdr w:val="none" w:sz="0" w:space="0" w:color="auto" w:frame="1"/>
          <w:shd w:val="clear" w:color="auto" w:fill="FFFFFF"/>
        </w:rPr>
        <w:t xml:space="preserve">maximum occupancy patterns will be updated; why a 90% occupancy rate would trigger implementation of space sharing in a location; differences between teaming, conference, meeting, and huddle rooms; and information about whether headphones/microphones will be provided to go with soft phone applications. </w:t>
      </w:r>
      <w:r w:rsidR="00E4699C" w:rsidRPr="003F1F63">
        <w:rPr>
          <w:bdr w:val="none" w:sz="0" w:space="0" w:color="auto" w:frame="1"/>
          <w:shd w:val="clear" w:color="auto" w:fill="FFFFFF"/>
        </w:rPr>
        <w:t xml:space="preserve">This bad faith bargaining due to the Agency’s lack of proper and adequate notification regarding specific, detailed information on the actual changes contemplated to implement space sharing policies did not allow the Union to formulate bargaining proposals on </w:t>
      </w:r>
      <w:r w:rsidR="00220FFD" w:rsidRPr="003F1F63">
        <w:rPr>
          <w:bdr w:val="none" w:sz="0" w:space="0" w:color="auto" w:frame="1"/>
          <w:shd w:val="clear" w:color="auto" w:fill="FFFFFF"/>
        </w:rPr>
        <w:t xml:space="preserve">the employee workstation reservation system and other </w:t>
      </w:r>
      <w:r w:rsidR="00E4699C" w:rsidRPr="003F1F63">
        <w:rPr>
          <w:bdr w:val="none" w:sz="0" w:space="0" w:color="auto" w:frame="1"/>
          <w:shd w:val="clear" w:color="auto" w:fill="FFFFFF"/>
        </w:rPr>
        <w:t>issues</w:t>
      </w:r>
      <w:r w:rsidR="00220FFD" w:rsidRPr="003F1F63">
        <w:rPr>
          <w:bdr w:val="none" w:sz="0" w:space="0" w:color="auto" w:frame="1"/>
          <w:shd w:val="clear" w:color="auto" w:fill="FFFFFF"/>
        </w:rPr>
        <w:t xml:space="preserve"> mentioned above</w:t>
      </w:r>
      <w:r w:rsidR="00E4699C" w:rsidRPr="003F1F63">
        <w:rPr>
          <w:bdr w:val="none" w:sz="0" w:space="0" w:color="auto" w:frame="1"/>
          <w:shd w:val="clear" w:color="auto" w:fill="FFFFFF"/>
        </w:rPr>
        <w:t xml:space="preserve">. </w:t>
      </w:r>
    </w:p>
    <w:p w14:paraId="288C6F5E" w14:textId="77777777" w:rsidR="003D0FD6" w:rsidRPr="003F1F63" w:rsidRDefault="003D0FD6" w:rsidP="009D0BED">
      <w:pPr>
        <w:rPr>
          <w:bdr w:val="none" w:sz="0" w:space="0" w:color="auto" w:frame="1"/>
          <w:shd w:val="clear" w:color="auto" w:fill="FFFFFF"/>
        </w:rPr>
      </w:pPr>
    </w:p>
    <w:p w14:paraId="71A6F1EE" w14:textId="76B9AA7D" w:rsidR="002338E8" w:rsidRPr="003F1F63" w:rsidRDefault="009D0BED" w:rsidP="009D0BED">
      <w:pPr>
        <w:rPr>
          <w:bdr w:val="none" w:sz="0" w:space="0" w:color="auto" w:frame="1"/>
          <w:shd w:val="clear" w:color="auto" w:fill="FFFFFF"/>
        </w:rPr>
      </w:pPr>
      <w:r w:rsidRPr="003F1F63">
        <w:rPr>
          <w:bdr w:val="none" w:sz="0" w:space="0" w:color="auto" w:frame="1"/>
          <w:shd w:val="clear" w:color="auto" w:fill="FFFFFF"/>
        </w:rPr>
        <w:t xml:space="preserve">By slowly releasing bits and pieces of information relevant to the </w:t>
      </w:r>
      <w:r w:rsidR="007A2194" w:rsidRPr="003F1F63">
        <w:rPr>
          <w:bdr w:val="none" w:sz="0" w:space="0" w:color="auto" w:frame="1"/>
          <w:shd w:val="clear" w:color="auto" w:fill="FFFFFF"/>
        </w:rPr>
        <w:t>implementation of space sharing</w:t>
      </w:r>
      <w:r w:rsidRPr="003F1F63">
        <w:rPr>
          <w:bdr w:val="none" w:sz="0" w:space="0" w:color="auto" w:frame="1"/>
          <w:shd w:val="clear" w:color="auto" w:fill="FFFFFF"/>
        </w:rPr>
        <w:t xml:space="preserve">, the Agency has </w:t>
      </w:r>
      <w:r w:rsidR="007A2194" w:rsidRPr="003F1F63">
        <w:rPr>
          <w:bdr w:val="none" w:sz="0" w:space="0" w:color="auto" w:frame="1"/>
          <w:shd w:val="clear" w:color="auto" w:fill="FFFFFF"/>
        </w:rPr>
        <w:t xml:space="preserve">unnecessarily delayed and lengthened negotiations. By failing to provide all the relevant information at once, the Agency is forcing the Parties to engage in multiple negotiations, further delaying the opportunity to reach a conclusive agreement. </w:t>
      </w:r>
    </w:p>
    <w:p w14:paraId="006C425F" w14:textId="77777777" w:rsidR="002338E8" w:rsidRPr="003F1F63" w:rsidRDefault="002338E8" w:rsidP="00C21E11">
      <w:pPr>
        <w:rPr>
          <w:b/>
          <w:bCs/>
          <w:bdr w:val="none" w:sz="0" w:space="0" w:color="auto" w:frame="1"/>
          <w:shd w:val="clear" w:color="auto" w:fill="FFFFFF"/>
        </w:rPr>
      </w:pPr>
    </w:p>
    <w:p w14:paraId="71A5924C" w14:textId="06CA4C50" w:rsidR="002338E8" w:rsidRPr="003F1F63" w:rsidRDefault="007A2194" w:rsidP="00C21E11">
      <w:pPr>
        <w:rPr>
          <w:bdr w:val="none" w:sz="0" w:space="0" w:color="auto" w:frame="1"/>
          <w:shd w:val="clear" w:color="auto" w:fill="FFFFFF"/>
        </w:rPr>
      </w:pPr>
      <w:r w:rsidRPr="003F1F63">
        <w:rPr>
          <w:bdr w:val="none" w:sz="0" w:space="0" w:color="auto" w:frame="1"/>
          <w:shd w:val="clear" w:color="auto" w:fill="FFFFFF"/>
        </w:rPr>
        <w:t>The Agency further engaged in bad faith practices by reversing its position repeatedly on key issues</w:t>
      </w:r>
      <w:r w:rsidR="00114086" w:rsidRPr="003F1F63">
        <w:rPr>
          <w:bdr w:val="none" w:sz="0" w:space="0" w:color="auto" w:frame="1"/>
          <w:shd w:val="clear" w:color="auto" w:fill="FFFFFF"/>
        </w:rPr>
        <w:t xml:space="preserve"> such as by </w:t>
      </w:r>
      <w:r w:rsidRPr="003F1F63">
        <w:rPr>
          <w:bdr w:val="none" w:sz="0" w:space="0" w:color="auto" w:frame="1"/>
          <w:shd w:val="clear" w:color="auto" w:fill="FFFFFF"/>
        </w:rPr>
        <w:t xml:space="preserve">saying in person that hot desks are for visitors, not employees, but in writing indicating that employees may need to use the smaller, poorly equipped hot desks; </w:t>
      </w:r>
      <w:r w:rsidR="00114086" w:rsidRPr="003F1F63">
        <w:rPr>
          <w:bdr w:val="none" w:sz="0" w:space="0" w:color="auto" w:frame="1"/>
          <w:shd w:val="clear" w:color="auto" w:fill="FFFFFF"/>
        </w:rPr>
        <w:t xml:space="preserve">and </w:t>
      </w:r>
      <w:r w:rsidRPr="003F1F63">
        <w:rPr>
          <w:bdr w:val="none" w:sz="0" w:space="0" w:color="auto" w:frame="1"/>
          <w:shd w:val="clear" w:color="auto" w:fill="FFFFFF"/>
        </w:rPr>
        <w:t xml:space="preserve">stating in one meeting that workspace does include aisles and circulation space, but in another meeting that workspace </w:t>
      </w:r>
      <w:r w:rsidR="00114086" w:rsidRPr="003F1F63">
        <w:rPr>
          <w:bdr w:val="none" w:sz="0" w:space="0" w:color="auto" w:frame="1"/>
          <w:shd w:val="clear" w:color="auto" w:fill="FFFFFF"/>
        </w:rPr>
        <w:t xml:space="preserve">includes only the individual workstation. Meanwhile, the Agency has attempted to unilaterally revise the definition of “workspace,” pretending that the Parties never meant the term to be limited to just the employee’s immediate cubicle or workstation, despite a 2016 Agency Handbook that used the latter definition. </w:t>
      </w:r>
    </w:p>
    <w:p w14:paraId="0310BA71" w14:textId="77777777" w:rsidR="00114086" w:rsidRPr="003F1F63" w:rsidRDefault="00114086" w:rsidP="00C21E11">
      <w:pPr>
        <w:rPr>
          <w:bdr w:val="none" w:sz="0" w:space="0" w:color="auto" w:frame="1"/>
          <w:shd w:val="clear" w:color="auto" w:fill="FFFFFF"/>
        </w:rPr>
      </w:pPr>
    </w:p>
    <w:p w14:paraId="08034001" w14:textId="77777777" w:rsidR="00676A23" w:rsidRPr="003F1F63" w:rsidRDefault="00676A23" w:rsidP="002D4D6B">
      <w:pPr>
        <w:keepNext/>
        <w:tabs>
          <w:tab w:val="left" w:pos="360"/>
        </w:tabs>
        <w:spacing w:after="240"/>
        <w:rPr>
          <w:b/>
          <w:bCs/>
          <w:noProof/>
          <w:szCs w:val="28"/>
        </w:rPr>
      </w:pPr>
      <w:r w:rsidRPr="003F1F63">
        <w:rPr>
          <w:b/>
          <w:bCs/>
          <w:noProof/>
          <w:szCs w:val="28"/>
        </w:rPr>
        <w:lastRenderedPageBreak/>
        <w:t>Meeting</w:t>
      </w:r>
    </w:p>
    <w:p w14:paraId="45B6177B" w14:textId="612F6B7E" w:rsidR="00676A23" w:rsidRPr="003F1F63" w:rsidRDefault="00676A23" w:rsidP="00676A23">
      <w:pPr>
        <w:tabs>
          <w:tab w:val="left" w:pos="7680"/>
          <w:tab w:val="left" w:pos="8880"/>
        </w:tabs>
        <w:rPr>
          <w:color w:val="000000"/>
        </w:rPr>
      </w:pPr>
      <w:r w:rsidRPr="003F1F63">
        <w:rPr>
          <w:color w:val="000000"/>
        </w:rPr>
        <w:t>AFGE Council 222 is not requesting a meeting to discuss this Grievance of the Parties. Therefore, in accordance with Article 51, Section 51.15(3) of the HUD-AFGE Agreement, please provide your response within 30 days</w:t>
      </w:r>
      <w:r w:rsidR="00EB47C6" w:rsidRPr="003F1F63">
        <w:rPr>
          <w:color w:val="000000"/>
        </w:rPr>
        <w:t xml:space="preserve"> to AFGE Council 222 President Salvatore Viola (</w:t>
      </w:r>
      <w:hyperlink r:id="rId9" w:history="1">
        <w:r w:rsidR="00EB47C6" w:rsidRPr="003F1F63">
          <w:rPr>
            <w:rStyle w:val="Hyperlink"/>
          </w:rPr>
          <w:t>salafge@outlook.com</w:t>
        </w:r>
      </w:hyperlink>
      <w:r w:rsidR="00EB47C6" w:rsidRPr="003F1F63">
        <w:rPr>
          <w:color w:val="000000"/>
        </w:rPr>
        <w:t>), and Bargaining Co-Chairs Jerry Gross (</w:t>
      </w:r>
      <w:hyperlink r:id="rId10" w:history="1">
        <w:r w:rsidR="00EB47C6" w:rsidRPr="003F1F63">
          <w:rPr>
            <w:rStyle w:val="Hyperlink"/>
          </w:rPr>
          <w:t>jerry.gross@hud.gov</w:t>
        </w:r>
      </w:hyperlink>
      <w:r w:rsidR="00EB47C6" w:rsidRPr="003F1F63">
        <w:rPr>
          <w:color w:val="000000"/>
        </w:rPr>
        <w:t>) and Ricardo Miranda (</w:t>
      </w:r>
      <w:hyperlink r:id="rId11" w:history="1">
        <w:r w:rsidR="00EB47C6" w:rsidRPr="003F1F63">
          <w:rPr>
            <w:rStyle w:val="Hyperlink"/>
          </w:rPr>
          <w:t>ricardo.miranda@hud.gov</w:t>
        </w:r>
      </w:hyperlink>
      <w:r w:rsidR="00EB47C6" w:rsidRPr="003F1F63">
        <w:rPr>
          <w:color w:val="000000"/>
        </w:rPr>
        <w:t>)</w:t>
      </w:r>
      <w:r w:rsidRPr="003F1F63">
        <w:rPr>
          <w:color w:val="000000"/>
        </w:rPr>
        <w:t xml:space="preserve">. </w:t>
      </w:r>
    </w:p>
    <w:p w14:paraId="75AF90A3" w14:textId="77777777" w:rsidR="00676A23" w:rsidRPr="003F1F63" w:rsidRDefault="00676A23" w:rsidP="00676A23">
      <w:pPr>
        <w:tabs>
          <w:tab w:val="left" w:pos="7680"/>
          <w:tab w:val="left" w:pos="8880"/>
        </w:tabs>
        <w:rPr>
          <w:color w:val="000000"/>
        </w:rPr>
      </w:pPr>
    </w:p>
    <w:p w14:paraId="6B4CBDF0" w14:textId="77777777" w:rsidR="00CA4824" w:rsidRPr="003F1F63" w:rsidRDefault="00CA4824" w:rsidP="00CA4824">
      <w:pPr>
        <w:tabs>
          <w:tab w:val="left" w:pos="7680"/>
          <w:tab w:val="left" w:pos="8880"/>
        </w:tabs>
        <w:rPr>
          <w:b/>
          <w:bCs/>
          <w:color w:val="201F1E"/>
          <w:bdr w:val="none" w:sz="0" w:space="0" w:color="auto" w:frame="1"/>
          <w:shd w:val="clear" w:color="auto" w:fill="FFFFFF"/>
        </w:rPr>
      </w:pPr>
      <w:r w:rsidRPr="003F1F63">
        <w:rPr>
          <w:b/>
          <w:bCs/>
          <w:color w:val="201F1E"/>
          <w:bdr w:val="none" w:sz="0" w:space="0" w:color="auto" w:frame="1"/>
          <w:shd w:val="clear" w:color="auto" w:fill="FFFFFF"/>
        </w:rPr>
        <w:t>Remedies Requested</w:t>
      </w:r>
    </w:p>
    <w:p w14:paraId="7A1FA2C9" w14:textId="77777777" w:rsidR="00CA4824" w:rsidRPr="003F1F63" w:rsidRDefault="00CA4824" w:rsidP="00CA4824">
      <w:pPr>
        <w:tabs>
          <w:tab w:val="left" w:pos="7680"/>
          <w:tab w:val="left" w:pos="8880"/>
        </w:tabs>
        <w:rPr>
          <w:color w:val="201F1E"/>
          <w:bdr w:val="none" w:sz="0" w:space="0" w:color="auto" w:frame="1"/>
          <w:shd w:val="clear" w:color="auto" w:fill="FFFFFF"/>
        </w:rPr>
      </w:pPr>
    </w:p>
    <w:p w14:paraId="2AB4E9F0" w14:textId="2D839E7C" w:rsidR="00CA4824" w:rsidRPr="003F1F63" w:rsidRDefault="00CA4824" w:rsidP="00CA4824">
      <w:pPr>
        <w:rPr>
          <w:color w:val="201F1E"/>
          <w:bdr w:val="none" w:sz="0" w:space="0" w:color="auto" w:frame="1"/>
          <w:shd w:val="clear" w:color="auto" w:fill="FFFFFF"/>
        </w:rPr>
      </w:pPr>
      <w:r w:rsidRPr="003F1F63">
        <w:rPr>
          <w:color w:val="201F1E"/>
          <w:bdr w:val="none" w:sz="0" w:space="0" w:color="auto" w:frame="1"/>
          <w:shd w:val="clear" w:color="auto" w:fill="FFFFFF"/>
        </w:rPr>
        <w:t xml:space="preserve">To resolve this </w:t>
      </w:r>
      <w:r w:rsidR="001C1D4A" w:rsidRPr="003F1F63">
        <w:rPr>
          <w:color w:val="201F1E"/>
          <w:bdr w:val="none" w:sz="0" w:space="0" w:color="auto" w:frame="1"/>
          <w:shd w:val="clear" w:color="auto" w:fill="FFFFFF"/>
        </w:rPr>
        <w:t xml:space="preserve">Unfair Labor Practice </w:t>
      </w:r>
      <w:r w:rsidRPr="003F1F63">
        <w:rPr>
          <w:color w:val="201F1E"/>
          <w:bdr w:val="none" w:sz="0" w:space="0" w:color="auto" w:frame="1"/>
          <w:shd w:val="clear" w:color="auto" w:fill="FFFFFF"/>
        </w:rPr>
        <w:t xml:space="preserve">Grievance of the Parties, AFGE Council 222 requests the following equitable relief remedies from HUD </w:t>
      </w:r>
      <w:r w:rsidR="00645099" w:rsidRPr="003F1F63">
        <w:rPr>
          <w:color w:val="201F1E"/>
          <w:bdr w:val="none" w:sz="0" w:space="0" w:color="auto" w:frame="1"/>
          <w:shd w:val="clear" w:color="auto" w:fill="FFFFFF"/>
        </w:rPr>
        <w:t>M</w:t>
      </w:r>
      <w:r w:rsidRPr="003F1F63">
        <w:rPr>
          <w:color w:val="201F1E"/>
          <w:bdr w:val="none" w:sz="0" w:space="0" w:color="auto" w:frame="1"/>
          <w:shd w:val="clear" w:color="auto" w:fill="FFFFFF"/>
        </w:rPr>
        <w:t>anagement:</w:t>
      </w:r>
    </w:p>
    <w:p w14:paraId="5D5AE529" w14:textId="77777777" w:rsidR="00450408" w:rsidRPr="003F1F63" w:rsidRDefault="00450408" w:rsidP="001405BD">
      <w:pPr>
        <w:autoSpaceDE w:val="0"/>
        <w:autoSpaceDN w:val="0"/>
        <w:adjustRightInd w:val="0"/>
      </w:pPr>
    </w:p>
    <w:p w14:paraId="6EF614A7" w14:textId="77777777" w:rsidR="00765F0F" w:rsidRPr="003F1F63" w:rsidRDefault="00765F0F" w:rsidP="00765F0F">
      <w:pPr>
        <w:numPr>
          <w:ilvl w:val="0"/>
          <w:numId w:val="11"/>
        </w:numPr>
        <w:autoSpaceDE w:val="0"/>
        <w:autoSpaceDN w:val="0"/>
        <w:adjustRightInd w:val="0"/>
        <w:ind w:left="900" w:hanging="540"/>
      </w:pPr>
      <w:r w:rsidRPr="003F1F63">
        <w:t xml:space="preserve">A written commitment from HUD that the Agency will comply with all statutory and contractual obligations; that it will not seek to force the Union to waive any rights; and that it will take steps to provide all information necessary for bargaining prior to engaging in negotiations. </w:t>
      </w:r>
    </w:p>
    <w:p w14:paraId="71832AB9" w14:textId="77777777" w:rsidR="00765F0F" w:rsidRPr="003F1F63" w:rsidRDefault="00765F0F" w:rsidP="00765F0F">
      <w:pPr>
        <w:autoSpaceDE w:val="0"/>
        <w:autoSpaceDN w:val="0"/>
        <w:adjustRightInd w:val="0"/>
        <w:ind w:left="900"/>
      </w:pPr>
    </w:p>
    <w:p w14:paraId="4BDCBEB2" w14:textId="77777777" w:rsidR="00765F0F" w:rsidRPr="003F1F63" w:rsidRDefault="00765F0F" w:rsidP="00765F0F">
      <w:pPr>
        <w:numPr>
          <w:ilvl w:val="0"/>
          <w:numId w:val="11"/>
        </w:numPr>
        <w:autoSpaceDE w:val="0"/>
        <w:autoSpaceDN w:val="0"/>
        <w:adjustRightInd w:val="0"/>
        <w:ind w:left="900" w:hanging="540"/>
      </w:pPr>
      <w:r w:rsidRPr="003F1F63">
        <w:t xml:space="preserve">A written commitment from HUD to engage in good faith bargaining going forward, including ensuring that all notices of proposed changes include all of the information required by Article 49. </w:t>
      </w:r>
    </w:p>
    <w:p w14:paraId="6E8C94F8" w14:textId="77777777" w:rsidR="00765F0F" w:rsidRPr="003F1F63" w:rsidRDefault="00765F0F" w:rsidP="00765F0F">
      <w:pPr>
        <w:autoSpaceDE w:val="0"/>
        <w:autoSpaceDN w:val="0"/>
        <w:adjustRightInd w:val="0"/>
        <w:ind w:left="900"/>
      </w:pPr>
    </w:p>
    <w:p w14:paraId="10A84955" w14:textId="21E6C0C0" w:rsidR="002A3CFC" w:rsidRPr="003F1F63" w:rsidRDefault="002A3CFC" w:rsidP="002A3CFC">
      <w:pPr>
        <w:numPr>
          <w:ilvl w:val="0"/>
          <w:numId w:val="11"/>
        </w:numPr>
        <w:autoSpaceDE w:val="0"/>
        <w:autoSpaceDN w:val="0"/>
        <w:adjustRightInd w:val="0"/>
        <w:ind w:left="900" w:hanging="540"/>
      </w:pPr>
      <w:r w:rsidRPr="003F1F63">
        <w:t>A written commitment from HUD that the Agency accepts the definition of “workspace” as defined in the 2016 Handbook 2200.1, Chapter 13</w:t>
      </w:r>
      <w:r w:rsidR="00765F0F" w:rsidRPr="003F1F63">
        <w:t>;</w:t>
      </w:r>
      <w:r w:rsidRPr="003F1F63">
        <w:t xml:space="preserve"> the minimum size of any and all bargaining unit employee workstations under the 2015 HUD-AFGE Agreement, Article 57, as amended by Supplement 35, as </w:t>
      </w:r>
      <w:r w:rsidR="00921D2C" w:rsidRPr="003F1F63">
        <w:t>at least</w:t>
      </w:r>
      <w:r w:rsidR="00E4699C" w:rsidRPr="003F1F63">
        <w:t xml:space="preserve"> </w:t>
      </w:r>
      <w:r w:rsidRPr="003F1F63">
        <w:t xml:space="preserve">52.5 </w:t>
      </w:r>
      <w:r w:rsidR="00E4699C" w:rsidRPr="003F1F63">
        <w:t>to 61.25 square feet</w:t>
      </w:r>
      <w:r w:rsidRPr="003F1F63">
        <w:t xml:space="preserve">, except for private offices, which are </w:t>
      </w:r>
      <w:r w:rsidR="00C70B8F" w:rsidRPr="003F1F63">
        <w:t xml:space="preserve">at least </w:t>
      </w:r>
      <w:r w:rsidRPr="003F1F63">
        <w:t>120 square feet</w:t>
      </w:r>
      <w:r w:rsidR="00765F0F" w:rsidRPr="003F1F63">
        <w:t xml:space="preserve">; and the obligation to treat all employees fairly and equitably pursuant to Article 6. </w:t>
      </w:r>
      <w:r w:rsidRPr="003F1F63">
        <w:t xml:space="preserve"> </w:t>
      </w:r>
    </w:p>
    <w:p w14:paraId="338C58AC" w14:textId="77777777" w:rsidR="00921D2C" w:rsidRPr="003F1F63" w:rsidRDefault="00921D2C" w:rsidP="00921D2C">
      <w:pPr>
        <w:autoSpaceDE w:val="0"/>
        <w:autoSpaceDN w:val="0"/>
        <w:adjustRightInd w:val="0"/>
        <w:ind w:left="900"/>
      </w:pPr>
    </w:p>
    <w:p w14:paraId="5E3F24BD" w14:textId="26D1D21C" w:rsidR="00921D2C" w:rsidRPr="003F1F63" w:rsidRDefault="00921D2C" w:rsidP="002A3CFC">
      <w:pPr>
        <w:numPr>
          <w:ilvl w:val="0"/>
          <w:numId w:val="11"/>
        </w:numPr>
        <w:autoSpaceDE w:val="0"/>
        <w:autoSpaceDN w:val="0"/>
        <w:adjustRightInd w:val="0"/>
        <w:ind w:left="900" w:hanging="540"/>
      </w:pPr>
      <w:r w:rsidRPr="003F1F63">
        <w:t>A written statement(s) of all the implementation details mentioned above and identified during negotiations that Management has failed to furnish to the Union to date, and an agreement to permit the Union 15 days to respond to each specific notice of a change in accordance with Article 49 of the CBA.</w:t>
      </w:r>
    </w:p>
    <w:p w14:paraId="724B3CE3" w14:textId="77777777" w:rsidR="002A3CFC" w:rsidRPr="003F1F63" w:rsidRDefault="002A3CFC" w:rsidP="002A3CFC">
      <w:pPr>
        <w:autoSpaceDE w:val="0"/>
        <w:autoSpaceDN w:val="0"/>
        <w:adjustRightInd w:val="0"/>
        <w:ind w:left="900"/>
      </w:pPr>
    </w:p>
    <w:p w14:paraId="73957969" w14:textId="77777777" w:rsidR="007A7262" w:rsidRPr="003F1F63" w:rsidRDefault="00645099" w:rsidP="0007100C">
      <w:pPr>
        <w:numPr>
          <w:ilvl w:val="0"/>
          <w:numId w:val="11"/>
        </w:numPr>
        <w:autoSpaceDE w:val="0"/>
        <w:autoSpaceDN w:val="0"/>
        <w:adjustRightInd w:val="0"/>
        <w:ind w:left="900" w:hanging="540"/>
      </w:pPr>
      <w:r w:rsidRPr="003F1F63">
        <w:t>Payment of all arbitration fees and expenses in accordance with Article 52, Section 52.04 of the HUD-AFGE Agreement should the Union have to pursue arbitration for denial of this Grievance of the Parties.</w:t>
      </w:r>
    </w:p>
    <w:p w14:paraId="485F995F" w14:textId="77777777" w:rsidR="00645099" w:rsidRPr="003F1F63" w:rsidRDefault="00645099" w:rsidP="0007100C">
      <w:pPr>
        <w:pStyle w:val="ListParagraph"/>
        <w:spacing w:after="0"/>
        <w:ind w:left="900" w:hanging="540"/>
      </w:pPr>
    </w:p>
    <w:p w14:paraId="168B9E77" w14:textId="7D079869" w:rsidR="00645099" w:rsidRPr="003F1F63" w:rsidRDefault="00645099" w:rsidP="0007100C">
      <w:pPr>
        <w:numPr>
          <w:ilvl w:val="0"/>
          <w:numId w:val="11"/>
        </w:numPr>
        <w:autoSpaceDE w:val="0"/>
        <w:autoSpaceDN w:val="0"/>
        <w:adjustRightInd w:val="0"/>
        <w:ind w:left="900" w:hanging="540"/>
      </w:pPr>
      <w:r w:rsidRPr="003F1F63">
        <w:t xml:space="preserve">Payment of the Union’s attorneys’ fees should the Union have to invoke and pursue arbitration for denial of this </w:t>
      </w:r>
      <w:r w:rsidR="00DC4E17" w:rsidRPr="003F1F63">
        <w:t>G</w:t>
      </w:r>
      <w:r w:rsidRPr="003F1F63">
        <w:t xml:space="preserve">rievance </w:t>
      </w:r>
      <w:r w:rsidR="00DC4E17" w:rsidRPr="003F1F63">
        <w:t xml:space="preserve">of the Parties </w:t>
      </w:r>
      <w:r w:rsidRPr="003F1F63">
        <w:t xml:space="preserve">pursuant to the Back Pay Act of 1966 at 5 U.S.C. § 5596(b)(1)(A)(ii) if any AFGE bargaining-unit employee loses any pay, allowances, or differentials as a result of </w:t>
      </w:r>
      <w:r w:rsidR="00FB4219" w:rsidRPr="003F1F63">
        <w:t>the matters covered by this ULP-GOP</w:t>
      </w:r>
      <w:r w:rsidRPr="003F1F63">
        <w:t>.</w:t>
      </w:r>
    </w:p>
    <w:p w14:paraId="054B039D" w14:textId="77777777" w:rsidR="00450408" w:rsidRPr="003F1F63" w:rsidRDefault="00450408" w:rsidP="0007100C">
      <w:pPr>
        <w:autoSpaceDE w:val="0"/>
        <w:autoSpaceDN w:val="0"/>
        <w:adjustRightInd w:val="0"/>
        <w:ind w:left="900" w:hanging="540"/>
      </w:pPr>
    </w:p>
    <w:p w14:paraId="29D66358" w14:textId="77777777" w:rsidR="00450408" w:rsidRPr="003F1F63" w:rsidRDefault="00645099" w:rsidP="0007100C">
      <w:pPr>
        <w:numPr>
          <w:ilvl w:val="0"/>
          <w:numId w:val="11"/>
        </w:numPr>
        <w:autoSpaceDE w:val="0"/>
        <w:autoSpaceDN w:val="0"/>
        <w:adjustRightInd w:val="0"/>
        <w:spacing w:after="240"/>
        <w:ind w:left="900" w:hanging="540"/>
      </w:pPr>
      <w:r w:rsidRPr="003F1F63">
        <w:lastRenderedPageBreak/>
        <w:t>Any other remedy available to the fullest extent of the law, rule, regulation, HUD-AFGE Agreement, policy, past practice, or arbitrator’s award. There is no provision in Article 51 or Article 52 of the Agreement that expressly prohibits changes in remedies requested.</w:t>
      </w:r>
    </w:p>
    <w:p w14:paraId="777A1602" w14:textId="6510A982" w:rsidR="0007100C" w:rsidRPr="003F1F63" w:rsidRDefault="0007100C" w:rsidP="0007100C">
      <w:pPr>
        <w:numPr>
          <w:ilvl w:val="0"/>
          <w:numId w:val="11"/>
        </w:numPr>
        <w:autoSpaceDE w:val="0"/>
        <w:autoSpaceDN w:val="0"/>
        <w:adjustRightInd w:val="0"/>
        <w:ind w:left="900" w:hanging="540"/>
      </w:pPr>
      <w:r w:rsidRPr="003F1F63">
        <w:t xml:space="preserve">A written agreement, signed by the Agency, </w:t>
      </w:r>
      <w:proofErr w:type="gramStart"/>
      <w:r w:rsidRPr="003F1F63">
        <w:t>that</w:t>
      </w:r>
      <w:proofErr w:type="gramEnd"/>
      <w:r w:rsidRPr="003F1F63">
        <w:t xml:space="preserve"> incorporates the above provisions.</w:t>
      </w:r>
    </w:p>
    <w:p w14:paraId="736B73F0" w14:textId="77777777" w:rsidR="00A75990" w:rsidRDefault="00A75990" w:rsidP="00A75990">
      <w:pPr>
        <w:autoSpaceDE w:val="0"/>
        <w:autoSpaceDN w:val="0"/>
        <w:adjustRightInd w:val="0"/>
      </w:pPr>
    </w:p>
    <w:p w14:paraId="20AE017C" w14:textId="349F9B2E" w:rsidR="002F09BE" w:rsidRPr="00EF4F9F" w:rsidRDefault="00EF4F9F" w:rsidP="00EF4F9F">
      <w:pPr>
        <w:pStyle w:val="FlushLeft"/>
      </w:pPr>
      <w:r w:rsidRPr="00EF4F9F">
        <w:t>Exhibits</w:t>
      </w:r>
    </w:p>
    <w:p w14:paraId="282E0F55" w14:textId="77777777" w:rsidR="00EF4F9F" w:rsidRDefault="00EF4F9F" w:rsidP="00EF4F9F">
      <w:pPr>
        <w:pStyle w:val="FlushLeft"/>
      </w:pPr>
    </w:p>
    <w:p w14:paraId="154C8922" w14:textId="4E64A37C" w:rsidR="00EF4F9F" w:rsidRDefault="00EF4F9F" w:rsidP="00EF4F9F">
      <w:pPr>
        <w:pStyle w:val="FlushLeft"/>
      </w:pPr>
      <w:r w:rsidRPr="00EF4F9F">
        <w:t>The following</w:t>
      </w:r>
      <w:r>
        <w:t xml:space="preserve"> exhibits </w:t>
      </w:r>
      <w:proofErr w:type="gramStart"/>
      <w:r>
        <w:t>are provided</w:t>
      </w:r>
      <w:proofErr w:type="gramEnd"/>
      <w:r>
        <w:t xml:space="preserve"> in support of this ULP-GOP:</w:t>
      </w:r>
    </w:p>
    <w:p w14:paraId="400F14A5" w14:textId="77777777" w:rsidR="00AA211C" w:rsidRDefault="00AA211C" w:rsidP="00EF4F9F">
      <w:pPr>
        <w:pStyle w:val="FlushLeft"/>
      </w:pPr>
    </w:p>
    <w:p w14:paraId="1673E533" w14:textId="78ECDB34" w:rsidR="00EF4F9F" w:rsidRDefault="00EF4F9F" w:rsidP="00EF4F9F">
      <w:pPr>
        <w:pStyle w:val="FlushLeft"/>
      </w:pPr>
      <w:r>
        <w:t xml:space="preserve">1. 2016 </w:t>
      </w:r>
      <w:r w:rsidR="00965A39">
        <w:t>Handbook 2200.1</w:t>
      </w:r>
      <w:r w:rsidR="00965A39">
        <w:t xml:space="preserve">, </w:t>
      </w:r>
      <w:r>
        <w:t>Chapter 13, Space Standards</w:t>
      </w:r>
      <w:r w:rsidR="00965A39">
        <w:t>.</w:t>
      </w:r>
    </w:p>
    <w:p w14:paraId="085C7191" w14:textId="38FA6476" w:rsidR="00EF4F9F" w:rsidRDefault="00EF4F9F" w:rsidP="00EF4F9F">
      <w:pPr>
        <w:pStyle w:val="FlushLeft"/>
      </w:pPr>
      <w:r>
        <w:t>2. July 24, 2023</w:t>
      </w:r>
      <w:r w:rsidR="00965A39">
        <w:t>,</w:t>
      </w:r>
      <w:r>
        <w:t xml:space="preserve"> email exchange regarding </w:t>
      </w:r>
      <w:r w:rsidR="00965A39">
        <w:t xml:space="preserve">Agency’s </w:t>
      </w:r>
      <w:r>
        <w:t>delivery of new Chapter 13.</w:t>
      </w:r>
    </w:p>
    <w:p w14:paraId="7283BD74" w14:textId="4A705D41" w:rsidR="00AA211C" w:rsidRDefault="00AA211C" w:rsidP="00EF4F9F">
      <w:pPr>
        <w:pStyle w:val="FlushLeft"/>
      </w:pPr>
      <w:r>
        <w:t>3. July 24, 2023</w:t>
      </w:r>
      <w:r w:rsidR="00965A39">
        <w:t>,</w:t>
      </w:r>
      <w:r>
        <w:t xml:space="preserve"> </w:t>
      </w:r>
      <w:r w:rsidR="00965A39">
        <w:t>Handbook 2200.1</w:t>
      </w:r>
      <w:r w:rsidR="00965A39">
        <w:t xml:space="preserve">, </w:t>
      </w:r>
      <w:r>
        <w:t>Chapter 13, Space Standards</w:t>
      </w:r>
      <w:r w:rsidR="005D018E">
        <w:t>.</w:t>
      </w:r>
    </w:p>
    <w:p w14:paraId="05EE5B08" w14:textId="69E2F312" w:rsidR="00AA211C" w:rsidRDefault="00AA211C" w:rsidP="00EF4F9F">
      <w:pPr>
        <w:pStyle w:val="FlushLeft"/>
      </w:pPr>
      <w:r>
        <w:t xml:space="preserve">4. CBA Article 57, as amended by Supplement 35. </w:t>
      </w:r>
    </w:p>
    <w:p w14:paraId="4A69BCEF" w14:textId="18676B92" w:rsidR="005D018E" w:rsidRPr="00EF4F9F" w:rsidRDefault="005D018E" w:rsidP="00EF4F9F">
      <w:pPr>
        <w:pStyle w:val="FlushLeft"/>
      </w:pPr>
      <w:r>
        <w:t>5. Union-Management Counterproposals Document, as of September 6, 2023.</w:t>
      </w:r>
    </w:p>
    <w:sectPr w:rsidR="005D018E" w:rsidRPr="00EF4F9F" w:rsidSect="005D4FD7">
      <w:headerReference w:type="default" r:id="rId12"/>
      <w:foot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1462" w14:textId="77777777" w:rsidR="00E83EF4" w:rsidRDefault="00E83EF4" w:rsidP="005D4FD7">
      <w:r>
        <w:separator/>
      </w:r>
    </w:p>
    <w:p w14:paraId="6B0FB9A8" w14:textId="77777777" w:rsidR="00E83EF4" w:rsidRDefault="00E83EF4"/>
  </w:endnote>
  <w:endnote w:type="continuationSeparator" w:id="0">
    <w:p w14:paraId="539B149C" w14:textId="77777777" w:rsidR="00E83EF4" w:rsidRDefault="00E83EF4" w:rsidP="005D4FD7">
      <w:r>
        <w:continuationSeparator/>
      </w:r>
    </w:p>
    <w:p w14:paraId="7F729104" w14:textId="77777777" w:rsidR="00E83EF4" w:rsidRDefault="00E83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4FA7" w14:textId="77777777" w:rsidR="00887277" w:rsidRDefault="00887277">
    <w:pPr>
      <w:pStyle w:val="Footer"/>
      <w:jc w:val="center"/>
    </w:pPr>
  </w:p>
  <w:p w14:paraId="239E89B9" w14:textId="4F83899E" w:rsidR="00631222" w:rsidRDefault="005D30FA" w:rsidP="00887277">
    <w:pPr>
      <w:pStyle w:val="Footer"/>
      <w:jc w:val="center"/>
    </w:pPr>
    <w:r>
      <w:fldChar w:fldCharType="begin"/>
    </w:r>
    <w:r>
      <w:instrText xml:space="preserve"> PAGE   \* MERGEFORMAT </w:instrText>
    </w:r>
    <w:r>
      <w:fldChar w:fldCharType="separate"/>
    </w:r>
    <w:r w:rsidR="00C53C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AEC5" w14:textId="77777777" w:rsidR="00E83EF4" w:rsidRDefault="00E83EF4" w:rsidP="005D4FD7">
      <w:r>
        <w:separator/>
      </w:r>
    </w:p>
    <w:p w14:paraId="7A0AA224" w14:textId="77777777" w:rsidR="00E83EF4" w:rsidRDefault="00E83EF4"/>
  </w:footnote>
  <w:footnote w:type="continuationSeparator" w:id="0">
    <w:p w14:paraId="33CBF4F2" w14:textId="77777777" w:rsidR="00E83EF4" w:rsidRDefault="00E83EF4" w:rsidP="005D4FD7">
      <w:r>
        <w:continuationSeparator/>
      </w:r>
    </w:p>
    <w:p w14:paraId="3280A91A" w14:textId="77777777" w:rsidR="00E83EF4" w:rsidRDefault="00E83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89AF" w14:textId="2FD724AE" w:rsidR="00B11BB2" w:rsidRDefault="001405BD" w:rsidP="00B11BB2">
    <w:pPr>
      <w:pStyle w:val="Header"/>
    </w:pPr>
    <w:r>
      <w:t>September 6</w:t>
    </w:r>
    <w:r w:rsidR="00B11BB2">
      <w:t>, 202</w:t>
    </w:r>
    <w:r w:rsidR="001E63C3">
      <w:t>3</w:t>
    </w:r>
  </w:p>
  <w:p w14:paraId="5C60C873" w14:textId="77777777" w:rsidR="001405BD" w:rsidRDefault="001405BD" w:rsidP="00B11BB2">
    <w:pPr>
      <w:pStyle w:val="Header"/>
    </w:pPr>
    <w:r>
      <w:t>Unfair Labor Practice Grievance of the Parties:</w:t>
    </w:r>
    <w:r w:rsidRPr="00867FA4">
      <w:t xml:space="preserve"> </w:t>
    </w:r>
  </w:p>
  <w:p w14:paraId="2D8D3892" w14:textId="54E1254C" w:rsidR="00CA6F9D" w:rsidRDefault="001405BD" w:rsidP="00B11BB2">
    <w:pPr>
      <w:pStyle w:val="Header"/>
    </w:pPr>
    <w:r>
      <w:t xml:space="preserve">Handbook 2200.1, Chapter 13 Space </w:t>
    </w:r>
    <w:r>
      <w:rPr>
        <w:bdr w:val="none" w:sz="0" w:space="0" w:color="auto" w:frame="1"/>
        <w:shd w:val="clear" w:color="auto" w:fill="FFFFFF"/>
      </w:rPr>
      <w:t>Design Standards</w:t>
    </w:r>
    <w:r>
      <w:t xml:space="preserve"> Negotiations</w:t>
    </w:r>
  </w:p>
  <w:p w14:paraId="485D32CE" w14:textId="77777777" w:rsidR="001E63C3" w:rsidRDefault="001E63C3" w:rsidP="00B11BB2">
    <w:pPr>
      <w:pStyle w:val="Header"/>
    </w:pPr>
  </w:p>
  <w:p w14:paraId="0E3ED8A1" w14:textId="77777777" w:rsidR="00631222" w:rsidRDefault="006312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FFA8" w14:textId="77777777" w:rsidR="00FC07B2" w:rsidRDefault="00FC07B2" w:rsidP="00FC07B2">
    <w:pPr>
      <w:tabs>
        <w:tab w:val="center" w:pos="4680"/>
      </w:tabs>
      <w:jc w:val="both"/>
      <w:rPr>
        <w:rFonts w:ascii="Arial"/>
        <w:color w:val="000000"/>
        <w:sz w:val="28"/>
      </w:rPr>
    </w:pPr>
    <w:r>
      <w:rPr>
        <w:rFonts w:ascii="Arial"/>
        <w:noProof/>
        <w:color w:val="000000"/>
        <w:sz w:val="28"/>
      </w:rPr>
      <w:drawing>
        <wp:anchor distT="0" distB="0" distL="114300" distR="114300" simplePos="0" relativeHeight="251660288" behindDoc="0" locked="0" layoutInCell="1" allowOverlap="1" wp14:anchorId="5EA6E69A" wp14:editId="43E97C62">
          <wp:simplePos x="0" y="0"/>
          <wp:positionH relativeFrom="margin">
            <wp:align>left</wp:align>
          </wp:positionH>
          <wp:positionV relativeFrom="paragraph">
            <wp:posOffset>0</wp:posOffset>
          </wp:positionV>
          <wp:extent cx="475488" cy="960120"/>
          <wp:effectExtent l="0" t="0" r="1270" b="0"/>
          <wp:wrapSquare wrapText="bothSides"/>
          <wp:docPr id="6" name="Picture 6" descr="A blue and yellow sign with a map and a yellow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sign with a map and a yellow 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75488" cy="960120"/>
                  </a:xfrm>
                  <a:prstGeom prst="rect">
                    <a:avLst/>
                  </a:prstGeom>
                </pic:spPr>
              </pic:pic>
            </a:graphicData>
          </a:graphic>
          <wp14:sizeRelH relativeFrom="margin">
            <wp14:pctWidth>0</wp14:pctWidth>
          </wp14:sizeRelH>
          <wp14:sizeRelV relativeFrom="margin">
            <wp14:pctHeight>0</wp14:pctHeight>
          </wp14:sizeRelV>
        </wp:anchor>
      </w:drawing>
    </w:r>
    <w:r>
      <w:rPr>
        <w:rFonts w:ascii="Arial"/>
        <w:color w:val="000000"/>
        <w:sz w:val="28"/>
      </w:rPr>
      <w:tab/>
    </w:r>
    <w:r>
      <w:rPr>
        <w:rFonts w:ascii="Calibri"/>
        <w:noProof/>
        <w:sz w:val="22"/>
      </w:rPr>
      <mc:AlternateContent>
        <mc:Choice Requires="wps">
          <w:drawing>
            <wp:anchor distT="0" distB="0" distL="114300" distR="114300" simplePos="0" relativeHeight="251659264" behindDoc="0" locked="0" layoutInCell="1" allowOverlap="1" wp14:anchorId="6F559EA7" wp14:editId="42B471D1">
              <wp:simplePos x="0" y="0"/>
              <wp:positionH relativeFrom="column">
                <wp:posOffset>0</wp:posOffset>
              </wp:positionH>
              <wp:positionV relativeFrom="paragraph">
                <wp:posOffset>0</wp:posOffset>
              </wp:positionV>
              <wp:extent cx="635000" cy="635000"/>
              <wp:effectExtent l="9525" t="9525" r="12700" b="12700"/>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46E1CC" id="_x0000_t202" coordsize="21600,21600" o:spt="202" path="m,l,21600r21600,l21600,xe">
              <v:stroke joinstyle="miter"/>
              <v:path gradientshapeok="t" o:connecttype="rect"/>
            </v:shapetype>
            <v:shape id="Text Box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956DD">
      <w:rPr>
        <w:rFonts w:ascii="Arial"/>
        <w:color w:val="000000"/>
        <w:sz w:val="28"/>
      </w:rPr>
      <w:t>American Federation of Government Employees</w:t>
    </w:r>
  </w:p>
  <w:p w14:paraId="645881B5" w14:textId="77777777" w:rsidR="00FC07B2" w:rsidRPr="0013418C" w:rsidRDefault="00FC07B2" w:rsidP="00FC07B2">
    <w:pPr>
      <w:tabs>
        <w:tab w:val="center" w:pos="4680"/>
      </w:tabs>
      <w:spacing w:after="120"/>
      <w:jc w:val="both"/>
      <w:rPr>
        <w:rFonts w:ascii="Arial"/>
        <w:color w:val="000000"/>
        <w:sz w:val="28"/>
      </w:rPr>
    </w:pPr>
    <w:r>
      <w:rPr>
        <w:rFonts w:ascii="Arial"/>
        <w:color w:val="000000"/>
        <w:sz w:val="28"/>
      </w:rPr>
      <w:tab/>
    </w:r>
    <w:r w:rsidRPr="0013418C">
      <w:rPr>
        <w:rFonts w:ascii="Arial"/>
        <w:color w:val="000000"/>
        <w:sz w:val="28"/>
      </w:rPr>
      <w:t>National Council of HUD Locals 222</w:t>
    </w:r>
  </w:p>
  <w:p w14:paraId="3274E701" w14:textId="77777777" w:rsidR="00FC07B2" w:rsidRDefault="00FC07B2" w:rsidP="00FC07B2">
    <w:pPr>
      <w:tabs>
        <w:tab w:val="center" w:pos="4680"/>
      </w:tabs>
      <w:spacing w:after="120"/>
      <w:jc w:val="both"/>
      <w:rPr>
        <w:rFonts w:ascii="Arial"/>
        <w:b/>
        <w:i/>
        <w:color w:val="000000"/>
        <w:sz w:val="16"/>
      </w:rPr>
    </w:pPr>
    <w:r>
      <w:rPr>
        <w:rFonts w:ascii="Arial"/>
        <w:b/>
        <w:i/>
        <w:color w:val="000000"/>
        <w:sz w:val="16"/>
      </w:rPr>
      <w:tab/>
    </w:r>
    <w:r w:rsidRPr="001956DD">
      <w:rPr>
        <w:rFonts w:ascii="Arial"/>
        <w:b/>
        <w:i/>
        <w:color w:val="000000"/>
        <w:sz w:val="16"/>
      </w:rPr>
      <w:t>Affiliated with AFL-CIO</w:t>
    </w:r>
  </w:p>
  <w:p w14:paraId="49CEDA91" w14:textId="77777777" w:rsidR="00FC07B2" w:rsidRPr="002A633C" w:rsidRDefault="00FC07B2" w:rsidP="00FC07B2">
    <w:pPr>
      <w:tabs>
        <w:tab w:val="center" w:pos="4680"/>
      </w:tabs>
      <w:jc w:val="both"/>
      <w:rPr>
        <w:rFonts w:ascii="Arial" w:hAnsi="Arial" w:cs="Arial"/>
        <w:b/>
        <w:i/>
        <w:color w:val="000000"/>
        <w:sz w:val="16"/>
        <w:szCs w:val="16"/>
      </w:rPr>
    </w:pPr>
    <w:r>
      <w:rPr>
        <w:rFonts w:ascii="Arial"/>
        <w:color w:val="000000"/>
        <w:sz w:val="15"/>
      </w:rPr>
      <w:tab/>
    </w:r>
    <w:r w:rsidRPr="002A633C">
      <w:rPr>
        <w:rFonts w:ascii="Arial" w:hAnsi="Arial" w:cs="Arial"/>
        <w:color w:val="000000"/>
        <w:sz w:val="16"/>
        <w:szCs w:val="16"/>
      </w:rPr>
      <w:t>451 7th Street, SW, Suite 314</w:t>
    </w:r>
    <w:r>
      <w:rPr>
        <w:rFonts w:ascii="Arial" w:hAnsi="Arial" w:cs="Arial"/>
        <w:color w:val="000000"/>
        <w:sz w:val="16"/>
        <w:szCs w:val="16"/>
      </w:rPr>
      <w:t>2</w:t>
    </w:r>
  </w:p>
  <w:p w14:paraId="1FA3D846" w14:textId="77777777" w:rsidR="00FC07B2" w:rsidRPr="002A633C" w:rsidRDefault="00FC07B2" w:rsidP="00FC07B2">
    <w:pPr>
      <w:tabs>
        <w:tab w:val="center" w:pos="4680"/>
      </w:tabs>
      <w:jc w:val="both"/>
      <w:rPr>
        <w:rFonts w:ascii="Arial" w:hAnsi="Arial" w:cs="Arial"/>
        <w:color w:val="000000"/>
        <w:sz w:val="16"/>
        <w:szCs w:val="16"/>
      </w:rPr>
    </w:pPr>
    <w:r w:rsidRPr="002A633C">
      <w:rPr>
        <w:rFonts w:ascii="Arial" w:hAnsi="Arial" w:cs="Arial"/>
        <w:color w:val="000000"/>
        <w:sz w:val="16"/>
        <w:szCs w:val="16"/>
      </w:rPr>
      <w:tab/>
      <w:t>Washington, DC 20410</w:t>
    </w:r>
  </w:p>
  <w:p w14:paraId="6BACC8F9" w14:textId="77777777" w:rsidR="00FC07B2" w:rsidRPr="002A633C" w:rsidRDefault="00FC07B2" w:rsidP="00FC07B2">
    <w:pPr>
      <w:tabs>
        <w:tab w:val="right" w:pos="9360"/>
        <w:tab w:val="right" w:pos="10440"/>
      </w:tabs>
      <w:rPr>
        <w:rFonts w:ascii="Arial" w:hAnsi="Arial" w:cs="Arial"/>
        <w:color w:val="000000"/>
        <w:sz w:val="16"/>
        <w:szCs w:val="16"/>
      </w:rPr>
    </w:pPr>
  </w:p>
  <w:p w14:paraId="201CD6E7" w14:textId="77777777" w:rsidR="000374D5" w:rsidRPr="002A633C" w:rsidRDefault="000374D5" w:rsidP="000374D5">
    <w:pPr>
      <w:tabs>
        <w:tab w:val="right" w:pos="9360"/>
        <w:tab w:val="right" w:pos="10440"/>
      </w:tabs>
      <w:rPr>
        <w:rFonts w:ascii="Arial" w:hAnsi="Arial" w:cs="Arial"/>
        <w:color w:val="000000"/>
        <w:sz w:val="16"/>
        <w:szCs w:val="16"/>
      </w:rPr>
    </w:pPr>
  </w:p>
  <w:p w14:paraId="0D6D29D9" w14:textId="77777777" w:rsidR="000374D5" w:rsidRPr="002A633C" w:rsidRDefault="000374D5" w:rsidP="000374D5">
    <w:pPr>
      <w:tabs>
        <w:tab w:val="right" w:pos="9360"/>
        <w:tab w:val="right" w:pos="10440"/>
      </w:tabs>
      <w:rPr>
        <w:rFonts w:ascii="Arial" w:hAnsi="Arial" w:cs="Arial"/>
        <w:sz w:val="16"/>
        <w:szCs w:val="16"/>
      </w:rPr>
    </w:pPr>
    <w:r w:rsidRPr="00A457FD">
      <w:rPr>
        <w:rFonts w:ascii="Arial" w:hAnsi="Arial" w:cs="Arial"/>
        <w:color w:val="000000"/>
        <w:sz w:val="16"/>
        <w:szCs w:val="16"/>
      </w:rPr>
      <w:t>Salvatore T. Viola</w:t>
    </w:r>
    <w:r w:rsidRPr="002A633C">
      <w:rPr>
        <w:rFonts w:ascii="Arial" w:hAnsi="Arial" w:cs="Arial"/>
        <w:color w:val="000000"/>
        <w:sz w:val="16"/>
        <w:szCs w:val="16"/>
      </w:rPr>
      <w:tab/>
      <w:t xml:space="preserve">Phone: </w:t>
    </w:r>
    <w:r w:rsidRPr="00A457FD">
      <w:rPr>
        <w:rFonts w:ascii="Arial" w:hAnsi="Arial" w:cs="Arial"/>
        <w:color w:val="000000"/>
        <w:sz w:val="16"/>
        <w:szCs w:val="16"/>
      </w:rPr>
      <w:t>(917)</w:t>
    </w:r>
    <w:r>
      <w:rPr>
        <w:rFonts w:ascii="Arial" w:hAnsi="Arial" w:cs="Arial"/>
        <w:color w:val="000000"/>
        <w:sz w:val="16"/>
        <w:szCs w:val="16"/>
      </w:rPr>
      <w:t xml:space="preserve"> </w:t>
    </w:r>
    <w:r w:rsidRPr="00A457FD">
      <w:rPr>
        <w:rFonts w:ascii="Arial" w:hAnsi="Arial" w:cs="Arial"/>
        <w:color w:val="000000"/>
        <w:sz w:val="16"/>
        <w:szCs w:val="16"/>
      </w:rPr>
      <w:t>607-1474</w:t>
    </w:r>
  </w:p>
  <w:p w14:paraId="2FEB19B6" w14:textId="77777777" w:rsidR="000374D5" w:rsidRPr="002A633C" w:rsidRDefault="000374D5" w:rsidP="000374D5">
    <w:pPr>
      <w:tabs>
        <w:tab w:val="right" w:pos="9360"/>
        <w:tab w:val="right" w:pos="10440"/>
      </w:tabs>
      <w:rPr>
        <w:rFonts w:ascii="Arial" w:hAnsi="Arial" w:cs="Arial"/>
        <w:sz w:val="16"/>
        <w:szCs w:val="16"/>
      </w:rPr>
    </w:pPr>
    <w:r w:rsidRPr="002A633C">
      <w:rPr>
        <w:rFonts w:ascii="Arial" w:hAnsi="Arial" w:cs="Arial"/>
        <w:color w:val="000000"/>
        <w:sz w:val="16"/>
        <w:szCs w:val="16"/>
      </w:rPr>
      <w:t>President</w:t>
    </w:r>
    <w:r>
      <w:rPr>
        <w:rFonts w:ascii="Arial" w:hAnsi="Arial" w:cs="Arial"/>
        <w:sz w:val="16"/>
        <w:szCs w:val="16"/>
      </w:rPr>
      <w:tab/>
    </w:r>
    <w:r w:rsidRPr="002A633C">
      <w:rPr>
        <w:rFonts w:ascii="Arial" w:hAnsi="Arial" w:cs="Arial"/>
        <w:color w:val="000000"/>
        <w:sz w:val="16"/>
        <w:szCs w:val="16"/>
      </w:rPr>
      <w:t xml:space="preserve">E-mail: </w:t>
    </w:r>
    <w:r w:rsidRPr="00A457FD">
      <w:rPr>
        <w:rFonts w:ascii="Arial" w:hAnsi="Arial" w:cs="Arial"/>
        <w:color w:val="000000"/>
        <w:sz w:val="16"/>
        <w:szCs w:val="16"/>
      </w:rPr>
      <w:t>salafge@outlook.com</w:t>
    </w:r>
  </w:p>
  <w:p w14:paraId="69463794" w14:textId="77777777" w:rsidR="005D4FD7" w:rsidRDefault="005D4FD7" w:rsidP="00037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8B4"/>
    <w:multiLevelType w:val="hybridMultilevel"/>
    <w:tmpl w:val="3788ABBE"/>
    <w:lvl w:ilvl="0" w:tplc="0409000F">
      <w:start w:val="1"/>
      <w:numFmt w:val="decimal"/>
      <w:lvlText w:val="%1."/>
      <w:lvlJc w:val="left"/>
      <w:pPr>
        <w:tabs>
          <w:tab w:val="num" w:pos="720"/>
        </w:tabs>
        <w:ind w:left="720" w:hanging="360"/>
      </w:pPr>
      <w:rPr>
        <w:rFonts w:hint="default"/>
      </w:rPr>
    </w:lvl>
    <w:lvl w:ilvl="1" w:tplc="34A89610">
      <w:start w:val="1"/>
      <w:numFmt w:val="lowerLetter"/>
      <w:lvlText w:val="%2."/>
      <w:lvlJc w:val="left"/>
      <w:pPr>
        <w:tabs>
          <w:tab w:val="num" w:pos="1260"/>
        </w:tabs>
        <w:ind w:left="126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B3D51"/>
    <w:multiLevelType w:val="hybridMultilevel"/>
    <w:tmpl w:val="265E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B25DF"/>
    <w:multiLevelType w:val="hybridMultilevel"/>
    <w:tmpl w:val="4EC6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EA0EAE"/>
    <w:multiLevelType w:val="hybridMultilevel"/>
    <w:tmpl w:val="FC48EFEC"/>
    <w:lvl w:ilvl="0" w:tplc="2CE49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5D12"/>
    <w:multiLevelType w:val="hybridMultilevel"/>
    <w:tmpl w:val="61C0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00BCB"/>
    <w:multiLevelType w:val="hybridMultilevel"/>
    <w:tmpl w:val="4D4CB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44C40"/>
    <w:multiLevelType w:val="hybridMultilevel"/>
    <w:tmpl w:val="E63877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2C732B"/>
    <w:multiLevelType w:val="hybridMultilevel"/>
    <w:tmpl w:val="1C16EF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773ABB"/>
    <w:multiLevelType w:val="hybridMultilevel"/>
    <w:tmpl w:val="C5469958"/>
    <w:lvl w:ilvl="0" w:tplc="A30A3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71495"/>
    <w:multiLevelType w:val="hybridMultilevel"/>
    <w:tmpl w:val="957AE35E"/>
    <w:lvl w:ilvl="0" w:tplc="34A89610">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F5C260C"/>
    <w:multiLevelType w:val="hybridMultilevel"/>
    <w:tmpl w:val="CCAC7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142DD"/>
    <w:multiLevelType w:val="hybridMultilevel"/>
    <w:tmpl w:val="15F490B4"/>
    <w:lvl w:ilvl="0" w:tplc="30CC841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7DE0683"/>
    <w:multiLevelType w:val="hybridMultilevel"/>
    <w:tmpl w:val="FA4273AC"/>
    <w:lvl w:ilvl="0" w:tplc="A30A3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547C4"/>
    <w:multiLevelType w:val="hybridMultilevel"/>
    <w:tmpl w:val="DCAA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6733C"/>
    <w:multiLevelType w:val="hybridMultilevel"/>
    <w:tmpl w:val="F1F0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A3DCC"/>
    <w:multiLevelType w:val="hybridMultilevel"/>
    <w:tmpl w:val="9D3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E6D2A"/>
    <w:multiLevelType w:val="hybridMultilevel"/>
    <w:tmpl w:val="73EED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DBE6076"/>
    <w:multiLevelType w:val="hybridMultilevel"/>
    <w:tmpl w:val="A3266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934EA"/>
    <w:multiLevelType w:val="hybridMultilevel"/>
    <w:tmpl w:val="C9AA0F4A"/>
    <w:lvl w:ilvl="0" w:tplc="239CA1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93167"/>
    <w:multiLevelType w:val="hybridMultilevel"/>
    <w:tmpl w:val="086EE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4E53A98"/>
    <w:multiLevelType w:val="hybridMultilevel"/>
    <w:tmpl w:val="ECD2DC0C"/>
    <w:lvl w:ilvl="0" w:tplc="8E40C638">
      <w:start w:val="1"/>
      <w:numFmt w:val="decimal"/>
      <w:lvlText w:val="%1."/>
      <w:lvlJc w:val="left"/>
      <w:pPr>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2E0856"/>
    <w:multiLevelType w:val="hybridMultilevel"/>
    <w:tmpl w:val="FE9EAEEE"/>
    <w:lvl w:ilvl="0" w:tplc="A30A3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317A24"/>
    <w:multiLevelType w:val="hybridMultilevel"/>
    <w:tmpl w:val="FD56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496540">
    <w:abstractNumId w:val="11"/>
  </w:num>
  <w:num w:numId="2" w16cid:durableId="46951974">
    <w:abstractNumId w:val="0"/>
  </w:num>
  <w:num w:numId="3" w16cid:durableId="1885628740">
    <w:abstractNumId w:val="2"/>
  </w:num>
  <w:num w:numId="4" w16cid:durableId="709956657">
    <w:abstractNumId w:val="9"/>
  </w:num>
  <w:num w:numId="5" w16cid:durableId="1215509126">
    <w:abstractNumId w:val="20"/>
  </w:num>
  <w:num w:numId="6" w16cid:durableId="1780876697">
    <w:abstractNumId w:val="7"/>
  </w:num>
  <w:num w:numId="7" w16cid:durableId="1691446415">
    <w:abstractNumId w:val="16"/>
  </w:num>
  <w:num w:numId="8" w16cid:durableId="2044012732">
    <w:abstractNumId w:val="6"/>
  </w:num>
  <w:num w:numId="9" w16cid:durableId="1645352125">
    <w:abstractNumId w:val="19"/>
  </w:num>
  <w:num w:numId="10" w16cid:durableId="1404176343">
    <w:abstractNumId w:val="4"/>
  </w:num>
  <w:num w:numId="11" w16cid:durableId="1626736829">
    <w:abstractNumId w:val="18"/>
  </w:num>
  <w:num w:numId="12" w16cid:durableId="1871869419">
    <w:abstractNumId w:val="8"/>
  </w:num>
  <w:num w:numId="13" w16cid:durableId="2060395768">
    <w:abstractNumId w:val="21"/>
  </w:num>
  <w:num w:numId="14" w16cid:durableId="69162281">
    <w:abstractNumId w:val="12"/>
  </w:num>
  <w:num w:numId="15" w16cid:durableId="1628968119">
    <w:abstractNumId w:val="17"/>
  </w:num>
  <w:num w:numId="16" w16cid:durableId="1365211995">
    <w:abstractNumId w:val="3"/>
  </w:num>
  <w:num w:numId="17" w16cid:durableId="1266500489">
    <w:abstractNumId w:val="10"/>
  </w:num>
  <w:num w:numId="18" w16cid:durableId="707796747">
    <w:abstractNumId w:val="1"/>
  </w:num>
  <w:num w:numId="19" w16cid:durableId="1514105789">
    <w:abstractNumId w:val="22"/>
  </w:num>
  <w:num w:numId="20" w16cid:durableId="1887831525">
    <w:abstractNumId w:val="15"/>
  </w:num>
  <w:num w:numId="21" w16cid:durableId="1782719877">
    <w:abstractNumId w:val="5"/>
  </w:num>
  <w:num w:numId="22" w16cid:durableId="2042510973">
    <w:abstractNumId w:val="14"/>
  </w:num>
  <w:num w:numId="23" w16cid:durableId="328093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97"/>
    <w:rsid w:val="00004FD0"/>
    <w:rsid w:val="00007B68"/>
    <w:rsid w:val="000250AD"/>
    <w:rsid w:val="00027A42"/>
    <w:rsid w:val="00033215"/>
    <w:rsid w:val="000374D5"/>
    <w:rsid w:val="00040B2A"/>
    <w:rsid w:val="00042728"/>
    <w:rsid w:val="00046808"/>
    <w:rsid w:val="00047AB5"/>
    <w:rsid w:val="0005564F"/>
    <w:rsid w:val="0007100C"/>
    <w:rsid w:val="00076C57"/>
    <w:rsid w:val="000778F3"/>
    <w:rsid w:val="00081221"/>
    <w:rsid w:val="000935F7"/>
    <w:rsid w:val="00095BBA"/>
    <w:rsid w:val="00096AE8"/>
    <w:rsid w:val="000A7710"/>
    <w:rsid w:val="000A7E20"/>
    <w:rsid w:val="000B3634"/>
    <w:rsid w:val="000B5626"/>
    <w:rsid w:val="000B64E0"/>
    <w:rsid w:val="000B7AA1"/>
    <w:rsid w:val="000D2007"/>
    <w:rsid w:val="000D3E81"/>
    <w:rsid w:val="000D6E82"/>
    <w:rsid w:val="001009D0"/>
    <w:rsid w:val="00100E62"/>
    <w:rsid w:val="0010553F"/>
    <w:rsid w:val="00113BDD"/>
    <w:rsid w:val="00114086"/>
    <w:rsid w:val="00117E83"/>
    <w:rsid w:val="001253FF"/>
    <w:rsid w:val="00127022"/>
    <w:rsid w:val="0013092E"/>
    <w:rsid w:val="00131974"/>
    <w:rsid w:val="001368DC"/>
    <w:rsid w:val="001405BD"/>
    <w:rsid w:val="001507A3"/>
    <w:rsid w:val="00160BD3"/>
    <w:rsid w:val="00162026"/>
    <w:rsid w:val="00165E20"/>
    <w:rsid w:val="00166BFC"/>
    <w:rsid w:val="00183AE1"/>
    <w:rsid w:val="00187F62"/>
    <w:rsid w:val="001A248E"/>
    <w:rsid w:val="001A2E1C"/>
    <w:rsid w:val="001B2F84"/>
    <w:rsid w:val="001B6800"/>
    <w:rsid w:val="001B6EC9"/>
    <w:rsid w:val="001C1D4A"/>
    <w:rsid w:val="001C2A7C"/>
    <w:rsid w:val="001C2D34"/>
    <w:rsid w:val="001C5950"/>
    <w:rsid w:val="001C5EEE"/>
    <w:rsid w:val="001D52DD"/>
    <w:rsid w:val="001D648B"/>
    <w:rsid w:val="001E097C"/>
    <w:rsid w:val="001E4994"/>
    <w:rsid w:val="001E5CE0"/>
    <w:rsid w:val="001E602B"/>
    <w:rsid w:val="001E63C3"/>
    <w:rsid w:val="001E6C35"/>
    <w:rsid w:val="001F27E2"/>
    <w:rsid w:val="001F56B0"/>
    <w:rsid w:val="001F6851"/>
    <w:rsid w:val="002042C0"/>
    <w:rsid w:val="00205E7A"/>
    <w:rsid w:val="00206D43"/>
    <w:rsid w:val="00212F52"/>
    <w:rsid w:val="00215186"/>
    <w:rsid w:val="00216B78"/>
    <w:rsid w:val="00220FFD"/>
    <w:rsid w:val="00221F64"/>
    <w:rsid w:val="0023019C"/>
    <w:rsid w:val="002310FF"/>
    <w:rsid w:val="00231480"/>
    <w:rsid w:val="002338E8"/>
    <w:rsid w:val="00240501"/>
    <w:rsid w:val="00243C7F"/>
    <w:rsid w:val="00246AE6"/>
    <w:rsid w:val="00250DA0"/>
    <w:rsid w:val="00255D1D"/>
    <w:rsid w:val="00265CBE"/>
    <w:rsid w:val="002670E5"/>
    <w:rsid w:val="002720DD"/>
    <w:rsid w:val="00273DBF"/>
    <w:rsid w:val="00285F55"/>
    <w:rsid w:val="002910F2"/>
    <w:rsid w:val="00292607"/>
    <w:rsid w:val="00293474"/>
    <w:rsid w:val="002A0280"/>
    <w:rsid w:val="002A25C3"/>
    <w:rsid w:val="002A3CFC"/>
    <w:rsid w:val="002A4D50"/>
    <w:rsid w:val="002A50A2"/>
    <w:rsid w:val="002C20A5"/>
    <w:rsid w:val="002C3667"/>
    <w:rsid w:val="002C4323"/>
    <w:rsid w:val="002D4D6B"/>
    <w:rsid w:val="002E10F5"/>
    <w:rsid w:val="002E537F"/>
    <w:rsid w:val="002F09BE"/>
    <w:rsid w:val="0030036A"/>
    <w:rsid w:val="00300A16"/>
    <w:rsid w:val="00301E80"/>
    <w:rsid w:val="00303314"/>
    <w:rsid w:val="00305819"/>
    <w:rsid w:val="00311A46"/>
    <w:rsid w:val="0031397C"/>
    <w:rsid w:val="003143EF"/>
    <w:rsid w:val="00332C23"/>
    <w:rsid w:val="00343DE4"/>
    <w:rsid w:val="00353455"/>
    <w:rsid w:val="0035407C"/>
    <w:rsid w:val="003544B9"/>
    <w:rsid w:val="00354FEF"/>
    <w:rsid w:val="00355BE6"/>
    <w:rsid w:val="003634B8"/>
    <w:rsid w:val="00373CDA"/>
    <w:rsid w:val="00373D22"/>
    <w:rsid w:val="00383466"/>
    <w:rsid w:val="003860C8"/>
    <w:rsid w:val="003867E0"/>
    <w:rsid w:val="003A65CB"/>
    <w:rsid w:val="003B3EDF"/>
    <w:rsid w:val="003B6C9F"/>
    <w:rsid w:val="003D04CE"/>
    <w:rsid w:val="003D05D4"/>
    <w:rsid w:val="003D0FD6"/>
    <w:rsid w:val="003D1F6D"/>
    <w:rsid w:val="003D38CD"/>
    <w:rsid w:val="003D3C1D"/>
    <w:rsid w:val="003D3E83"/>
    <w:rsid w:val="003D7247"/>
    <w:rsid w:val="003F1F63"/>
    <w:rsid w:val="00403CC8"/>
    <w:rsid w:val="00404300"/>
    <w:rsid w:val="00410483"/>
    <w:rsid w:val="00414F8E"/>
    <w:rsid w:val="00420942"/>
    <w:rsid w:val="004210F4"/>
    <w:rsid w:val="0042567F"/>
    <w:rsid w:val="004277F9"/>
    <w:rsid w:val="00427802"/>
    <w:rsid w:val="00442CC9"/>
    <w:rsid w:val="00445086"/>
    <w:rsid w:val="0044662C"/>
    <w:rsid w:val="00446CE5"/>
    <w:rsid w:val="00447A53"/>
    <w:rsid w:val="00450408"/>
    <w:rsid w:val="00451699"/>
    <w:rsid w:val="00452187"/>
    <w:rsid w:val="004572D9"/>
    <w:rsid w:val="0046637A"/>
    <w:rsid w:val="00471B47"/>
    <w:rsid w:val="00473D64"/>
    <w:rsid w:val="0047496D"/>
    <w:rsid w:val="0047750E"/>
    <w:rsid w:val="00482ED4"/>
    <w:rsid w:val="004B33DA"/>
    <w:rsid w:val="004C4C46"/>
    <w:rsid w:val="004D09FF"/>
    <w:rsid w:val="004D12EB"/>
    <w:rsid w:val="004E0757"/>
    <w:rsid w:val="004E6126"/>
    <w:rsid w:val="004F2228"/>
    <w:rsid w:val="004F6CA0"/>
    <w:rsid w:val="00505645"/>
    <w:rsid w:val="00517A67"/>
    <w:rsid w:val="0052383E"/>
    <w:rsid w:val="00530BD1"/>
    <w:rsid w:val="00534A02"/>
    <w:rsid w:val="005526EF"/>
    <w:rsid w:val="00556C75"/>
    <w:rsid w:val="005657F0"/>
    <w:rsid w:val="00565DCC"/>
    <w:rsid w:val="0056746B"/>
    <w:rsid w:val="00581A82"/>
    <w:rsid w:val="00581FC9"/>
    <w:rsid w:val="0059010C"/>
    <w:rsid w:val="005937F7"/>
    <w:rsid w:val="005A0D80"/>
    <w:rsid w:val="005A20DA"/>
    <w:rsid w:val="005A41C6"/>
    <w:rsid w:val="005A690C"/>
    <w:rsid w:val="005B428E"/>
    <w:rsid w:val="005C04D9"/>
    <w:rsid w:val="005C0C1E"/>
    <w:rsid w:val="005C363E"/>
    <w:rsid w:val="005D018E"/>
    <w:rsid w:val="005D1BA7"/>
    <w:rsid w:val="005D1D41"/>
    <w:rsid w:val="005D30FA"/>
    <w:rsid w:val="005D4FD7"/>
    <w:rsid w:val="005E1C4B"/>
    <w:rsid w:val="005F4248"/>
    <w:rsid w:val="005F50F7"/>
    <w:rsid w:val="00602C5B"/>
    <w:rsid w:val="00614527"/>
    <w:rsid w:val="0062039A"/>
    <w:rsid w:val="00624DE5"/>
    <w:rsid w:val="00626A10"/>
    <w:rsid w:val="00627C24"/>
    <w:rsid w:val="00631222"/>
    <w:rsid w:val="00632434"/>
    <w:rsid w:val="00635EE5"/>
    <w:rsid w:val="006400B5"/>
    <w:rsid w:val="00640FEF"/>
    <w:rsid w:val="00645099"/>
    <w:rsid w:val="00652842"/>
    <w:rsid w:val="00655E35"/>
    <w:rsid w:val="00673E99"/>
    <w:rsid w:val="00674F11"/>
    <w:rsid w:val="00676289"/>
    <w:rsid w:val="00676A23"/>
    <w:rsid w:val="00690A78"/>
    <w:rsid w:val="006931D2"/>
    <w:rsid w:val="00695034"/>
    <w:rsid w:val="00697D09"/>
    <w:rsid w:val="006A4D39"/>
    <w:rsid w:val="006A7288"/>
    <w:rsid w:val="006A7584"/>
    <w:rsid w:val="006B54D3"/>
    <w:rsid w:val="006D3F7C"/>
    <w:rsid w:val="006D799D"/>
    <w:rsid w:val="006D7B74"/>
    <w:rsid w:val="006F01E9"/>
    <w:rsid w:val="006F28CF"/>
    <w:rsid w:val="006F4C9F"/>
    <w:rsid w:val="006F5051"/>
    <w:rsid w:val="007005BF"/>
    <w:rsid w:val="007060EA"/>
    <w:rsid w:val="00707A84"/>
    <w:rsid w:val="00707AED"/>
    <w:rsid w:val="007105B0"/>
    <w:rsid w:val="0071380A"/>
    <w:rsid w:val="00722410"/>
    <w:rsid w:val="007337CB"/>
    <w:rsid w:val="007403C6"/>
    <w:rsid w:val="00740C07"/>
    <w:rsid w:val="007443CE"/>
    <w:rsid w:val="00746495"/>
    <w:rsid w:val="00747424"/>
    <w:rsid w:val="00756932"/>
    <w:rsid w:val="007571E8"/>
    <w:rsid w:val="007605F6"/>
    <w:rsid w:val="00765F0F"/>
    <w:rsid w:val="00771149"/>
    <w:rsid w:val="00787C06"/>
    <w:rsid w:val="007924BC"/>
    <w:rsid w:val="007A2194"/>
    <w:rsid w:val="007A7262"/>
    <w:rsid w:val="007B3E0A"/>
    <w:rsid w:val="007D3BB0"/>
    <w:rsid w:val="007D3C7C"/>
    <w:rsid w:val="007E5507"/>
    <w:rsid w:val="007F5085"/>
    <w:rsid w:val="007F5AD7"/>
    <w:rsid w:val="007F606A"/>
    <w:rsid w:val="007F70B4"/>
    <w:rsid w:val="00806FD0"/>
    <w:rsid w:val="00815E22"/>
    <w:rsid w:val="008203C5"/>
    <w:rsid w:val="00832AF7"/>
    <w:rsid w:val="00835236"/>
    <w:rsid w:val="00854CBF"/>
    <w:rsid w:val="00867FA4"/>
    <w:rsid w:val="00885A30"/>
    <w:rsid w:val="00887277"/>
    <w:rsid w:val="008971E9"/>
    <w:rsid w:val="008B1AB9"/>
    <w:rsid w:val="008B35CB"/>
    <w:rsid w:val="008B45E7"/>
    <w:rsid w:val="008B5A49"/>
    <w:rsid w:val="008C5DA4"/>
    <w:rsid w:val="008D3246"/>
    <w:rsid w:val="008D5B44"/>
    <w:rsid w:val="008D5DC1"/>
    <w:rsid w:val="008D7ECE"/>
    <w:rsid w:val="008E0BB8"/>
    <w:rsid w:val="008E1161"/>
    <w:rsid w:val="008F6AE7"/>
    <w:rsid w:val="00900B3A"/>
    <w:rsid w:val="00914A68"/>
    <w:rsid w:val="00917389"/>
    <w:rsid w:val="00917F8A"/>
    <w:rsid w:val="00921D2C"/>
    <w:rsid w:val="00924DB3"/>
    <w:rsid w:val="00931367"/>
    <w:rsid w:val="009554DE"/>
    <w:rsid w:val="00960B81"/>
    <w:rsid w:val="0096264C"/>
    <w:rsid w:val="00965412"/>
    <w:rsid w:val="00965A39"/>
    <w:rsid w:val="009715D0"/>
    <w:rsid w:val="0098226F"/>
    <w:rsid w:val="00985BC8"/>
    <w:rsid w:val="009A5169"/>
    <w:rsid w:val="009A6839"/>
    <w:rsid w:val="009B3A13"/>
    <w:rsid w:val="009D0BED"/>
    <w:rsid w:val="009D23D1"/>
    <w:rsid w:val="009D6CCA"/>
    <w:rsid w:val="009D7AE7"/>
    <w:rsid w:val="009E0D48"/>
    <w:rsid w:val="009E1366"/>
    <w:rsid w:val="009E1B12"/>
    <w:rsid w:val="009F44FA"/>
    <w:rsid w:val="009F640B"/>
    <w:rsid w:val="00A02397"/>
    <w:rsid w:val="00A05714"/>
    <w:rsid w:val="00A111AB"/>
    <w:rsid w:val="00A117F5"/>
    <w:rsid w:val="00A46305"/>
    <w:rsid w:val="00A5296C"/>
    <w:rsid w:val="00A53388"/>
    <w:rsid w:val="00A56E5A"/>
    <w:rsid w:val="00A67900"/>
    <w:rsid w:val="00A75990"/>
    <w:rsid w:val="00A760B1"/>
    <w:rsid w:val="00A77CF6"/>
    <w:rsid w:val="00A9353E"/>
    <w:rsid w:val="00AA1A47"/>
    <w:rsid w:val="00AA211C"/>
    <w:rsid w:val="00AA22BE"/>
    <w:rsid w:val="00AA6ED0"/>
    <w:rsid w:val="00AB1277"/>
    <w:rsid w:val="00AB3380"/>
    <w:rsid w:val="00AC3768"/>
    <w:rsid w:val="00AD27AF"/>
    <w:rsid w:val="00AD3120"/>
    <w:rsid w:val="00AD7CD4"/>
    <w:rsid w:val="00AE3C40"/>
    <w:rsid w:val="00AE6946"/>
    <w:rsid w:val="00AE6B75"/>
    <w:rsid w:val="00AF4B82"/>
    <w:rsid w:val="00AF5775"/>
    <w:rsid w:val="00B018C3"/>
    <w:rsid w:val="00B03BCB"/>
    <w:rsid w:val="00B03D80"/>
    <w:rsid w:val="00B068A4"/>
    <w:rsid w:val="00B1150E"/>
    <w:rsid w:val="00B115FB"/>
    <w:rsid w:val="00B11BB2"/>
    <w:rsid w:val="00B135CE"/>
    <w:rsid w:val="00B27C15"/>
    <w:rsid w:val="00B40E8C"/>
    <w:rsid w:val="00B418B3"/>
    <w:rsid w:val="00B45C80"/>
    <w:rsid w:val="00B4718D"/>
    <w:rsid w:val="00B511C2"/>
    <w:rsid w:val="00B524C0"/>
    <w:rsid w:val="00B6281C"/>
    <w:rsid w:val="00B71905"/>
    <w:rsid w:val="00B75B8A"/>
    <w:rsid w:val="00B82148"/>
    <w:rsid w:val="00B92653"/>
    <w:rsid w:val="00BA5997"/>
    <w:rsid w:val="00BB05A4"/>
    <w:rsid w:val="00BB1766"/>
    <w:rsid w:val="00BB46D0"/>
    <w:rsid w:val="00BB642F"/>
    <w:rsid w:val="00BB6782"/>
    <w:rsid w:val="00BC3A87"/>
    <w:rsid w:val="00BC3ADB"/>
    <w:rsid w:val="00BC40EF"/>
    <w:rsid w:val="00BC56F9"/>
    <w:rsid w:val="00BD0AE7"/>
    <w:rsid w:val="00BD118F"/>
    <w:rsid w:val="00BD7379"/>
    <w:rsid w:val="00BE6B39"/>
    <w:rsid w:val="00BF140B"/>
    <w:rsid w:val="00BF7BF7"/>
    <w:rsid w:val="00C06362"/>
    <w:rsid w:val="00C14012"/>
    <w:rsid w:val="00C21E11"/>
    <w:rsid w:val="00C4149F"/>
    <w:rsid w:val="00C451DD"/>
    <w:rsid w:val="00C45C2C"/>
    <w:rsid w:val="00C51DAD"/>
    <w:rsid w:val="00C53CDA"/>
    <w:rsid w:val="00C57762"/>
    <w:rsid w:val="00C6012A"/>
    <w:rsid w:val="00C6211E"/>
    <w:rsid w:val="00C649D4"/>
    <w:rsid w:val="00C6529B"/>
    <w:rsid w:val="00C65E72"/>
    <w:rsid w:val="00C665F9"/>
    <w:rsid w:val="00C66A60"/>
    <w:rsid w:val="00C70B8F"/>
    <w:rsid w:val="00C771BB"/>
    <w:rsid w:val="00C91F85"/>
    <w:rsid w:val="00C95DE8"/>
    <w:rsid w:val="00C97C9F"/>
    <w:rsid w:val="00CA02D4"/>
    <w:rsid w:val="00CA2B83"/>
    <w:rsid w:val="00CA3AA2"/>
    <w:rsid w:val="00CA4824"/>
    <w:rsid w:val="00CA6F9D"/>
    <w:rsid w:val="00CA70F0"/>
    <w:rsid w:val="00CB5133"/>
    <w:rsid w:val="00CD2D77"/>
    <w:rsid w:val="00CD37FB"/>
    <w:rsid w:val="00CE56D4"/>
    <w:rsid w:val="00CE61F3"/>
    <w:rsid w:val="00D03312"/>
    <w:rsid w:val="00D134CF"/>
    <w:rsid w:val="00D20F5B"/>
    <w:rsid w:val="00D23934"/>
    <w:rsid w:val="00D30A8C"/>
    <w:rsid w:val="00D32306"/>
    <w:rsid w:val="00D353B5"/>
    <w:rsid w:val="00D3555D"/>
    <w:rsid w:val="00D52A96"/>
    <w:rsid w:val="00D5692E"/>
    <w:rsid w:val="00D67E5D"/>
    <w:rsid w:val="00D72C8D"/>
    <w:rsid w:val="00D7651C"/>
    <w:rsid w:val="00D85AB7"/>
    <w:rsid w:val="00D869DC"/>
    <w:rsid w:val="00DA03B9"/>
    <w:rsid w:val="00DA1248"/>
    <w:rsid w:val="00DA1BE5"/>
    <w:rsid w:val="00DB1803"/>
    <w:rsid w:val="00DB4B93"/>
    <w:rsid w:val="00DB6244"/>
    <w:rsid w:val="00DB74BC"/>
    <w:rsid w:val="00DC147F"/>
    <w:rsid w:val="00DC4E17"/>
    <w:rsid w:val="00DD39C2"/>
    <w:rsid w:val="00DD777A"/>
    <w:rsid w:val="00DE0178"/>
    <w:rsid w:val="00DF0A93"/>
    <w:rsid w:val="00DF5977"/>
    <w:rsid w:val="00E02B1A"/>
    <w:rsid w:val="00E07C98"/>
    <w:rsid w:val="00E11F43"/>
    <w:rsid w:val="00E1261C"/>
    <w:rsid w:val="00E14E99"/>
    <w:rsid w:val="00E26689"/>
    <w:rsid w:val="00E2693F"/>
    <w:rsid w:val="00E30719"/>
    <w:rsid w:val="00E363F1"/>
    <w:rsid w:val="00E446F9"/>
    <w:rsid w:val="00E4699C"/>
    <w:rsid w:val="00E53FD1"/>
    <w:rsid w:val="00E547F1"/>
    <w:rsid w:val="00E55232"/>
    <w:rsid w:val="00E7224D"/>
    <w:rsid w:val="00E81938"/>
    <w:rsid w:val="00E821DD"/>
    <w:rsid w:val="00E83EF4"/>
    <w:rsid w:val="00E9177E"/>
    <w:rsid w:val="00E917D6"/>
    <w:rsid w:val="00E923C2"/>
    <w:rsid w:val="00E92813"/>
    <w:rsid w:val="00E97372"/>
    <w:rsid w:val="00EB144F"/>
    <w:rsid w:val="00EB3F81"/>
    <w:rsid w:val="00EB47C6"/>
    <w:rsid w:val="00EC11E0"/>
    <w:rsid w:val="00EC222A"/>
    <w:rsid w:val="00EC34A0"/>
    <w:rsid w:val="00ED17C6"/>
    <w:rsid w:val="00ED6E60"/>
    <w:rsid w:val="00EE6BB7"/>
    <w:rsid w:val="00EF0B8C"/>
    <w:rsid w:val="00EF4F9F"/>
    <w:rsid w:val="00F11AA9"/>
    <w:rsid w:val="00F1300C"/>
    <w:rsid w:val="00F25873"/>
    <w:rsid w:val="00F3050D"/>
    <w:rsid w:val="00F367F7"/>
    <w:rsid w:val="00F42AD6"/>
    <w:rsid w:val="00F4301B"/>
    <w:rsid w:val="00F50218"/>
    <w:rsid w:val="00F50F3C"/>
    <w:rsid w:val="00F5781F"/>
    <w:rsid w:val="00F711A9"/>
    <w:rsid w:val="00F85AA8"/>
    <w:rsid w:val="00F95D7B"/>
    <w:rsid w:val="00F971BF"/>
    <w:rsid w:val="00FA2EA0"/>
    <w:rsid w:val="00FA7F34"/>
    <w:rsid w:val="00FB18D6"/>
    <w:rsid w:val="00FB4219"/>
    <w:rsid w:val="00FB421F"/>
    <w:rsid w:val="00FC07B2"/>
    <w:rsid w:val="00FC4157"/>
    <w:rsid w:val="00FD3958"/>
    <w:rsid w:val="00FD427C"/>
    <w:rsid w:val="00FD584C"/>
    <w:rsid w:val="00FD671A"/>
    <w:rsid w:val="00FE2BE4"/>
    <w:rsid w:val="00FF1944"/>
    <w:rsid w:val="00FF34A1"/>
    <w:rsid w:val="00FF6D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48995"/>
  <w15:chartTrackingRefBased/>
  <w15:docId w15:val="{00EFE854-FD67-41AA-93EA-D9437926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F11"/>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qFormat/>
    <w:rsid w:val="00FA7F34"/>
    <w:pPr>
      <w:spacing w:after="240"/>
      <w:ind w:left="720"/>
    </w:pPr>
    <w:rPr>
      <w:rFonts w:eastAsia="Calibri"/>
      <w:szCs w:val="22"/>
    </w:rPr>
  </w:style>
  <w:style w:type="paragraph" w:styleId="Header">
    <w:name w:val="header"/>
    <w:basedOn w:val="Normal"/>
    <w:link w:val="HeaderChar"/>
    <w:uiPriority w:val="99"/>
    <w:rsid w:val="005D4FD7"/>
    <w:pPr>
      <w:tabs>
        <w:tab w:val="center" w:pos="4680"/>
        <w:tab w:val="right" w:pos="9360"/>
      </w:tabs>
    </w:pPr>
  </w:style>
  <w:style w:type="character" w:customStyle="1" w:styleId="HeaderChar">
    <w:name w:val="Header Char"/>
    <w:link w:val="Header"/>
    <w:uiPriority w:val="99"/>
    <w:rsid w:val="005D4FD7"/>
    <w:rPr>
      <w:sz w:val="24"/>
      <w:szCs w:val="24"/>
    </w:rPr>
  </w:style>
  <w:style w:type="paragraph" w:styleId="Footer">
    <w:name w:val="footer"/>
    <w:basedOn w:val="Normal"/>
    <w:link w:val="FooterChar"/>
    <w:uiPriority w:val="99"/>
    <w:rsid w:val="005D4FD7"/>
    <w:pPr>
      <w:tabs>
        <w:tab w:val="center" w:pos="4680"/>
        <w:tab w:val="right" w:pos="9360"/>
      </w:tabs>
    </w:pPr>
  </w:style>
  <w:style w:type="character" w:customStyle="1" w:styleId="FooterChar">
    <w:name w:val="Footer Char"/>
    <w:link w:val="Footer"/>
    <w:uiPriority w:val="99"/>
    <w:rsid w:val="005D4FD7"/>
    <w:rPr>
      <w:sz w:val="24"/>
      <w:szCs w:val="24"/>
    </w:rPr>
  </w:style>
  <w:style w:type="paragraph" w:styleId="FootnoteText">
    <w:name w:val="footnote text"/>
    <w:basedOn w:val="Normal"/>
    <w:link w:val="FootnoteTextChar"/>
    <w:rsid w:val="001F6851"/>
    <w:rPr>
      <w:sz w:val="20"/>
      <w:szCs w:val="20"/>
    </w:rPr>
  </w:style>
  <w:style w:type="character" w:customStyle="1" w:styleId="FootnoteTextChar">
    <w:name w:val="Footnote Text Char"/>
    <w:basedOn w:val="DefaultParagraphFont"/>
    <w:link w:val="FootnoteText"/>
    <w:rsid w:val="001F6851"/>
  </w:style>
  <w:style w:type="character" w:styleId="FootnoteReference">
    <w:name w:val="footnote reference"/>
    <w:rsid w:val="001F6851"/>
    <w:rPr>
      <w:vertAlign w:val="superscript"/>
    </w:rPr>
  </w:style>
  <w:style w:type="paragraph" w:customStyle="1" w:styleId="FlushLeft">
    <w:name w:val="Flush Left"/>
    <w:basedOn w:val="Normal"/>
    <w:autoRedefine/>
    <w:qFormat/>
    <w:rsid w:val="00EF4F9F"/>
    <w:rPr>
      <w:rFonts w:eastAsia="Calibri"/>
    </w:rPr>
  </w:style>
  <w:style w:type="paragraph" w:customStyle="1" w:styleId="Blockindent">
    <w:name w:val="Block indent"/>
    <w:basedOn w:val="Normal"/>
    <w:qFormat/>
    <w:rsid w:val="002F09BE"/>
    <w:pPr>
      <w:autoSpaceDE w:val="0"/>
      <w:autoSpaceDN w:val="0"/>
      <w:adjustRightInd w:val="0"/>
      <w:spacing w:after="240"/>
      <w:ind w:left="720"/>
    </w:pPr>
    <w:rPr>
      <w:rFonts w:eastAsia="Calibri"/>
      <w:lang w:bidi="he-IL"/>
    </w:rPr>
  </w:style>
  <w:style w:type="paragraph" w:styleId="Revision">
    <w:name w:val="Revision"/>
    <w:hidden/>
    <w:uiPriority w:val="99"/>
    <w:semiHidden/>
    <w:rsid w:val="00B4718D"/>
    <w:rPr>
      <w:sz w:val="24"/>
      <w:szCs w:val="24"/>
      <w:lang w:bidi="ar-SA"/>
    </w:rPr>
  </w:style>
  <w:style w:type="character" w:styleId="CommentReference">
    <w:name w:val="annotation reference"/>
    <w:rsid w:val="00B4718D"/>
    <w:rPr>
      <w:sz w:val="16"/>
      <w:szCs w:val="16"/>
    </w:rPr>
  </w:style>
  <w:style w:type="paragraph" w:styleId="CommentText">
    <w:name w:val="annotation text"/>
    <w:basedOn w:val="Normal"/>
    <w:link w:val="CommentTextChar"/>
    <w:rsid w:val="00B4718D"/>
    <w:rPr>
      <w:sz w:val="20"/>
      <w:szCs w:val="20"/>
    </w:rPr>
  </w:style>
  <w:style w:type="character" w:customStyle="1" w:styleId="CommentTextChar">
    <w:name w:val="Comment Text Char"/>
    <w:link w:val="CommentText"/>
    <w:rsid w:val="00B4718D"/>
    <w:rPr>
      <w:lang w:bidi="ar-SA"/>
    </w:rPr>
  </w:style>
  <w:style w:type="paragraph" w:styleId="CommentSubject">
    <w:name w:val="annotation subject"/>
    <w:basedOn w:val="CommentText"/>
    <w:next w:val="CommentText"/>
    <w:link w:val="CommentSubjectChar"/>
    <w:rsid w:val="00B4718D"/>
    <w:rPr>
      <w:b/>
      <w:bCs/>
    </w:rPr>
  </w:style>
  <w:style w:type="character" w:customStyle="1" w:styleId="CommentSubjectChar">
    <w:name w:val="Comment Subject Char"/>
    <w:link w:val="CommentSubject"/>
    <w:rsid w:val="00B4718D"/>
    <w:rPr>
      <w:b/>
      <w:bCs/>
      <w:lang w:bidi="ar-SA"/>
    </w:rPr>
  </w:style>
  <w:style w:type="character" w:styleId="UnresolvedMention">
    <w:name w:val="Unresolved Mention"/>
    <w:basedOn w:val="DefaultParagraphFont"/>
    <w:uiPriority w:val="99"/>
    <w:semiHidden/>
    <w:unhideWhenUsed/>
    <w:rsid w:val="00EB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ardo.miranda@hud.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rry.gross@hud.gov" TargetMode="External"/><Relationship Id="rId4" Type="http://schemas.openxmlformats.org/officeDocument/2006/relationships/settings" Target="settings.xml"/><Relationship Id="rId9" Type="http://schemas.openxmlformats.org/officeDocument/2006/relationships/hyperlink" Target="mailto:salafge@outlook.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B901-A691-4318-9076-6F167465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U.S. Department of Housing and Urban Development</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HUD</dc:creator>
  <cp:keywords/>
  <cp:lastModifiedBy>Andrea  Gross</cp:lastModifiedBy>
  <cp:revision>5</cp:revision>
  <cp:lastPrinted>2023-06-02T18:07:00Z</cp:lastPrinted>
  <dcterms:created xsi:type="dcterms:W3CDTF">2023-09-06T19:06:00Z</dcterms:created>
  <dcterms:modified xsi:type="dcterms:W3CDTF">2023-09-06T19:16:00Z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1916312737</vt:i4>
  </property>
  <property fmtid="{D5CDD505-2E9C-101B-9397-08002B2CF9AE}" pid="3" name="_NewReviewCycle">
    <vt:lpwstr/>
  </property>
  <property fmtid="{D5CDD505-2E9C-101B-9397-08002B2CF9AE}" pid="4" name="_EmailSubject">
    <vt:lpwstr>attached D2B SF</vt:lpwstr>
  </property>
  <property fmtid="{D5CDD505-2E9C-101B-9397-08002B2CF9AE}" pid="5" name="_AuthorEmail">
    <vt:lpwstr>perry.casper@hud.gov</vt:lpwstr>
  </property>
  <property fmtid="{D5CDD505-2E9C-101B-9397-08002B2CF9AE}" pid="6" name="_AuthorEmailDisplayName">
    <vt:lpwstr>Casper, Perry</vt:lpwstr>
  </property>
  <property fmtid="{D5CDD505-2E9C-101B-9397-08002B2CF9AE}" pid="7" name="_PreviousAdHocReviewCycleID">
    <vt:i4>1906605869</vt:i4>
  </property>
  <property fmtid="{D5CDD505-2E9C-101B-9397-08002B2CF9AE}" pid="8" name="_ReviewingToolsShownOnce">
    <vt:lpwstr/>
  </property>
</Properties>
</file>